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0A83D8C3" w:rsidR="00BF54FE" w:rsidRDefault="001E2BD0" w:rsidP="006C2343">
      <w:pPr>
        <w:pStyle w:val="Tituldatum"/>
      </w:pPr>
      <w:r>
        <w:rPr>
          <w:rStyle w:val="Nzevakce"/>
        </w:rPr>
        <w:t>„</w:t>
      </w:r>
      <w:r w:rsidR="00EE54C5" w:rsidRPr="00EE54C5">
        <w:rPr>
          <w:rStyle w:val="Nzevakce"/>
        </w:rPr>
        <w:t>Oprava koleje v žst. Bohumín</w:t>
      </w:r>
      <w:r w:rsidR="00D81D58">
        <w:rPr>
          <w:rStyle w:val="Nzevakce"/>
        </w:rPr>
        <w:t>-</w:t>
      </w:r>
      <w:r w:rsidR="00EE54C5" w:rsidRPr="00EE54C5">
        <w:rPr>
          <w:rStyle w:val="Nzevakce"/>
        </w:rPr>
        <w:t>Vrbice</w:t>
      </w:r>
      <w:r w:rsidR="00465AB6" w:rsidRPr="00465AB6">
        <w:rPr>
          <w:rStyle w:val="Nzevakce"/>
        </w:rPr>
        <w:t>“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395514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E54C5">
        <w:t>16</w:t>
      </w:r>
      <w:r w:rsidR="00C56FB9" w:rsidRPr="00B66548">
        <w:t>.</w:t>
      </w:r>
      <w:r w:rsidR="00BC6CFB" w:rsidRPr="00B66548">
        <w:t xml:space="preserve"> </w:t>
      </w:r>
      <w:r w:rsidR="00EE54C5">
        <w:t>6</w:t>
      </w:r>
      <w:r w:rsidR="00C56FB9" w:rsidRPr="00B66548">
        <w:t>.</w:t>
      </w:r>
      <w:r w:rsidR="00BC6CFB" w:rsidRPr="00B66548">
        <w:t xml:space="preserve"> </w:t>
      </w:r>
      <w:r w:rsidR="00465AB6" w:rsidRPr="00B66548">
        <w:t>2023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071A35C" w14:textId="742F1C67" w:rsidR="00055CF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030138" w:history="1">
        <w:r w:rsidR="00055CF5" w:rsidRPr="00E2791D">
          <w:rPr>
            <w:rStyle w:val="Hypertextovodkaz"/>
          </w:rPr>
          <w:t>SEZNAM ZKRATEK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_Toc128030138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2</w:t>
        </w:r>
        <w:r w:rsidR="00055CF5">
          <w:rPr>
            <w:noProof/>
            <w:webHidden/>
          </w:rPr>
          <w:fldChar w:fldCharType="end"/>
        </w:r>
      </w:hyperlink>
    </w:p>
    <w:p w14:paraId="5294E606" w14:textId="4FEC31FF" w:rsidR="00055CF5" w:rsidRDefault="00FE58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39" w:history="1">
        <w:r w:rsidR="00055CF5" w:rsidRPr="00E2791D">
          <w:rPr>
            <w:rStyle w:val="Hypertextovodkaz"/>
          </w:rPr>
          <w:t>Pojmy a definice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_Toc128030139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3</w:t>
        </w:r>
        <w:r w:rsidR="00055CF5">
          <w:rPr>
            <w:noProof/>
            <w:webHidden/>
          </w:rPr>
          <w:fldChar w:fldCharType="end"/>
        </w:r>
      </w:hyperlink>
    </w:p>
    <w:p w14:paraId="354959B5" w14:textId="40946407" w:rsidR="00055CF5" w:rsidRDefault="00FE58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0" w:history="1">
        <w:r w:rsidR="00055CF5" w:rsidRPr="00E2791D">
          <w:rPr>
            <w:rStyle w:val="Hypertextovodkaz"/>
          </w:rPr>
          <w:t>1.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SPECIFIKACE PŘEDMĚTU DÍLA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_Toc128030140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4</w:t>
        </w:r>
        <w:r w:rsidR="00055CF5">
          <w:rPr>
            <w:noProof/>
            <w:webHidden/>
          </w:rPr>
          <w:fldChar w:fldCharType="end"/>
        </w:r>
      </w:hyperlink>
    </w:p>
    <w:p w14:paraId="5A035350" w14:textId="5CC25D5C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1" w:history="1">
        <w:r w:rsidR="00055CF5" w:rsidRPr="00E2791D">
          <w:rPr>
            <w:rStyle w:val="Hypertextovodkaz"/>
            <w:rFonts w:asciiTheme="majorHAnsi" w:hAnsiTheme="majorHAnsi"/>
          </w:rPr>
          <w:t>1.1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Účel a rozsah předmětu Díla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_Toc128030141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4</w:t>
        </w:r>
        <w:r w:rsidR="00055CF5">
          <w:rPr>
            <w:noProof/>
            <w:webHidden/>
          </w:rPr>
          <w:fldChar w:fldCharType="end"/>
        </w:r>
      </w:hyperlink>
    </w:p>
    <w:p w14:paraId="4CA006BE" w14:textId="20567FB3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2" w:history="1">
        <w:r w:rsidR="00055CF5" w:rsidRPr="00E2791D">
          <w:rPr>
            <w:rStyle w:val="Hypertextovodkaz"/>
            <w:rFonts w:asciiTheme="majorHAnsi" w:hAnsiTheme="majorHAnsi"/>
          </w:rPr>
          <w:t>1.2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Umístění stavby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_Toc128030142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5</w:t>
        </w:r>
        <w:r w:rsidR="00055CF5">
          <w:rPr>
            <w:noProof/>
            <w:webHidden/>
          </w:rPr>
          <w:fldChar w:fldCharType="end"/>
        </w:r>
      </w:hyperlink>
    </w:p>
    <w:p w14:paraId="322F8955" w14:textId="5B9B9707" w:rsidR="00055CF5" w:rsidRDefault="00FE58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3" w:history="1">
        <w:r w:rsidR="00055CF5" w:rsidRPr="00E2791D">
          <w:rPr>
            <w:rStyle w:val="Hypertextovodkaz"/>
          </w:rPr>
          <w:t>2.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PŘEHLED VÝCHOZÍCH PODKLADŮ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_Toc128030143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5</w:t>
        </w:r>
        <w:r w:rsidR="00055CF5">
          <w:rPr>
            <w:noProof/>
            <w:webHidden/>
          </w:rPr>
          <w:fldChar w:fldCharType="end"/>
        </w:r>
      </w:hyperlink>
    </w:p>
    <w:p w14:paraId="64B44157" w14:textId="76188571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4" w:history="1">
        <w:r w:rsidR="00055CF5" w:rsidRPr="00E2791D">
          <w:rPr>
            <w:rStyle w:val="Hypertextovodkaz"/>
            <w:rFonts w:asciiTheme="majorHAnsi" w:hAnsiTheme="majorHAnsi"/>
          </w:rPr>
          <w:t>2.1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Projektová dokumentace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_Toc128030144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5</w:t>
        </w:r>
        <w:r w:rsidR="00055CF5">
          <w:rPr>
            <w:noProof/>
            <w:webHidden/>
          </w:rPr>
          <w:fldChar w:fldCharType="end"/>
        </w:r>
      </w:hyperlink>
    </w:p>
    <w:p w14:paraId="723BA109" w14:textId="713E7942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5" w:history="1">
        <w:r w:rsidR="00055CF5" w:rsidRPr="00E2791D">
          <w:rPr>
            <w:rStyle w:val="Hypertextovodkaz"/>
            <w:rFonts w:asciiTheme="majorHAnsi" w:hAnsiTheme="majorHAnsi"/>
          </w:rPr>
          <w:t>2.2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Související dokumentace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_Toc128030145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5</w:t>
        </w:r>
        <w:r w:rsidR="00055CF5">
          <w:rPr>
            <w:noProof/>
            <w:webHidden/>
          </w:rPr>
          <w:fldChar w:fldCharType="end"/>
        </w:r>
      </w:hyperlink>
    </w:p>
    <w:p w14:paraId="749DCED4" w14:textId="28792D37" w:rsidR="00055CF5" w:rsidRDefault="00FE58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6" w:history="1">
        <w:r w:rsidR="00055CF5" w:rsidRPr="00E2791D">
          <w:rPr>
            <w:rStyle w:val="Hypertextovodkaz"/>
          </w:rPr>
          <w:t>3.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KOORDINACE S JINÝMI STAVBAMI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_Toc128030146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5</w:t>
        </w:r>
        <w:r w:rsidR="00055CF5">
          <w:rPr>
            <w:noProof/>
            <w:webHidden/>
          </w:rPr>
          <w:fldChar w:fldCharType="end"/>
        </w:r>
      </w:hyperlink>
    </w:p>
    <w:p w14:paraId="65147EE5" w14:textId="622A2AA4" w:rsidR="00055CF5" w:rsidRDefault="00FE58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7" w:history="1">
        <w:r w:rsidR="00055CF5" w:rsidRPr="00E2791D">
          <w:rPr>
            <w:rStyle w:val="Hypertextovodkaz"/>
          </w:rPr>
          <w:t>4.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Zvláštní TECHNICKÉ podmímky a požadavky na PROVEDENÍ DÍLA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_Toc128030147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6</w:t>
        </w:r>
        <w:r w:rsidR="00055CF5">
          <w:rPr>
            <w:noProof/>
            <w:webHidden/>
          </w:rPr>
          <w:fldChar w:fldCharType="end"/>
        </w:r>
      </w:hyperlink>
    </w:p>
    <w:p w14:paraId="5E54F5F9" w14:textId="14DD158C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8" w:history="1">
        <w:r w:rsidR="00055CF5" w:rsidRPr="00E2791D">
          <w:rPr>
            <w:rStyle w:val="Hypertextovodkaz"/>
            <w:rFonts w:asciiTheme="majorHAnsi" w:hAnsiTheme="majorHAnsi"/>
          </w:rPr>
          <w:t>4.1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Všeobecně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_Toc128030148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6</w:t>
        </w:r>
        <w:r w:rsidR="00055CF5">
          <w:rPr>
            <w:noProof/>
            <w:webHidden/>
          </w:rPr>
          <w:fldChar w:fldCharType="end"/>
        </w:r>
      </w:hyperlink>
    </w:p>
    <w:p w14:paraId="7C6D490A" w14:textId="3DFAE87D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9" w:history="1">
        <w:r w:rsidR="00055CF5" w:rsidRPr="00E2791D">
          <w:rPr>
            <w:rStyle w:val="Hypertextovodkaz"/>
            <w:rFonts w:asciiTheme="majorHAnsi" w:hAnsiTheme="majorHAnsi"/>
          </w:rPr>
          <w:t>4.2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Zeměměřická činnost zhotovitele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_Toc128030149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11</w:t>
        </w:r>
        <w:r w:rsidR="00055CF5">
          <w:rPr>
            <w:noProof/>
            <w:webHidden/>
          </w:rPr>
          <w:fldChar w:fldCharType="end"/>
        </w:r>
      </w:hyperlink>
    </w:p>
    <w:p w14:paraId="079800F1" w14:textId="244C2505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0" w:history="1">
        <w:r w:rsidR="00055CF5" w:rsidRPr="00E2791D">
          <w:rPr>
            <w:rStyle w:val="Hypertextovodkaz"/>
            <w:rFonts w:asciiTheme="majorHAnsi" w:hAnsiTheme="majorHAnsi"/>
          </w:rPr>
          <w:t>4.3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Doklady předkládané zhotovitelem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_Toc128030150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12</w:t>
        </w:r>
        <w:r w:rsidR="00055CF5">
          <w:rPr>
            <w:noProof/>
            <w:webHidden/>
          </w:rPr>
          <w:fldChar w:fldCharType="end"/>
        </w:r>
      </w:hyperlink>
    </w:p>
    <w:p w14:paraId="6D68DE36" w14:textId="40D35B29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1" w:history="1">
        <w:r w:rsidR="00055CF5" w:rsidRPr="00E2791D">
          <w:rPr>
            <w:rStyle w:val="Hypertextovodkaz"/>
            <w:rFonts w:asciiTheme="majorHAnsi" w:hAnsiTheme="majorHAnsi"/>
          </w:rPr>
          <w:t>4.4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Dokumentace zhotovitele pro stavbu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_Toc128030151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12</w:t>
        </w:r>
        <w:r w:rsidR="00055CF5">
          <w:rPr>
            <w:noProof/>
            <w:webHidden/>
          </w:rPr>
          <w:fldChar w:fldCharType="end"/>
        </w:r>
      </w:hyperlink>
    </w:p>
    <w:p w14:paraId="6B21B473" w14:textId="1544153C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2" w:history="1">
        <w:r w:rsidR="00055CF5" w:rsidRPr="00E2791D">
          <w:rPr>
            <w:rStyle w:val="Hypertextovodkaz"/>
            <w:rFonts w:asciiTheme="majorHAnsi" w:hAnsiTheme="majorHAnsi"/>
          </w:rPr>
          <w:t>4.5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Dokumentace skutečného provedení stavby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_Toc128030152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12</w:t>
        </w:r>
        <w:r w:rsidR="00055CF5">
          <w:rPr>
            <w:noProof/>
            <w:webHidden/>
          </w:rPr>
          <w:fldChar w:fldCharType="end"/>
        </w:r>
      </w:hyperlink>
    </w:p>
    <w:p w14:paraId="0714A348" w14:textId="4BEC10D3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3" w:history="1">
        <w:r w:rsidR="00055CF5" w:rsidRPr="00E2791D">
          <w:rPr>
            <w:rStyle w:val="Hypertextovodkaz"/>
            <w:rFonts w:asciiTheme="majorHAnsi" w:hAnsiTheme="majorHAnsi"/>
          </w:rPr>
          <w:t>4.6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Životní prostředí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_Toc128030153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12</w:t>
        </w:r>
        <w:r w:rsidR="00055CF5">
          <w:rPr>
            <w:noProof/>
            <w:webHidden/>
          </w:rPr>
          <w:fldChar w:fldCharType="end"/>
        </w:r>
      </w:hyperlink>
    </w:p>
    <w:p w14:paraId="3DC8AC3E" w14:textId="68EC53AF" w:rsidR="00055CF5" w:rsidRDefault="00FE58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4" w:history="1">
        <w:r w:rsidR="00055CF5" w:rsidRPr="00E2791D">
          <w:rPr>
            <w:rStyle w:val="Hypertextovodkaz"/>
            <w:rFonts w:asciiTheme="majorHAnsi" w:hAnsiTheme="majorHAnsi"/>
          </w:rPr>
          <w:t>4.7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Materiál dodávaný objednatelem (mimo CNM)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_Toc128030154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12</w:t>
        </w:r>
        <w:r w:rsidR="00055CF5">
          <w:rPr>
            <w:noProof/>
            <w:webHidden/>
          </w:rPr>
          <w:fldChar w:fldCharType="end"/>
        </w:r>
      </w:hyperlink>
    </w:p>
    <w:p w14:paraId="56848B02" w14:textId="1013E23B" w:rsidR="00055CF5" w:rsidRDefault="00FE58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55" w:history="1">
        <w:r w:rsidR="00055CF5" w:rsidRPr="00E2791D">
          <w:rPr>
            <w:rStyle w:val="Hypertextovodkaz"/>
          </w:rPr>
          <w:t>5.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ORGANIZACE VÝSTAVBY, VÝLUKY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_Toc128030155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13</w:t>
        </w:r>
        <w:r w:rsidR="00055CF5">
          <w:rPr>
            <w:noProof/>
            <w:webHidden/>
          </w:rPr>
          <w:fldChar w:fldCharType="end"/>
        </w:r>
      </w:hyperlink>
    </w:p>
    <w:p w14:paraId="35D5A651" w14:textId="10AD480B" w:rsidR="00055CF5" w:rsidRDefault="00FE58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56" w:history="1">
        <w:r w:rsidR="00055CF5" w:rsidRPr="00E2791D">
          <w:rPr>
            <w:rStyle w:val="Hypertextovodkaz"/>
          </w:rPr>
          <w:t>6.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SOUVISEJÍCÍ DOKUMENTY A PŘEDPISY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_Toc128030156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13</w:t>
        </w:r>
        <w:r w:rsidR="00055CF5">
          <w:rPr>
            <w:noProof/>
            <w:webHidden/>
          </w:rPr>
          <w:fldChar w:fldCharType="end"/>
        </w:r>
      </w:hyperlink>
    </w:p>
    <w:p w14:paraId="605A3C0D" w14:textId="4F678921" w:rsidR="00055CF5" w:rsidRDefault="00FE58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57" w:history="1">
        <w:r w:rsidR="00055CF5" w:rsidRPr="00E2791D">
          <w:rPr>
            <w:rStyle w:val="Hypertextovodkaz"/>
          </w:rPr>
          <w:t>7.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PŘÍLOHY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_Toc128030157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F71758">
          <w:rPr>
            <w:noProof/>
            <w:webHidden/>
          </w:rPr>
          <w:t>14</w:t>
        </w:r>
        <w:r w:rsidR="00055CF5">
          <w:rPr>
            <w:noProof/>
            <w:webHidden/>
          </w:rPr>
          <w:fldChar w:fldCharType="end"/>
        </w:r>
      </w:hyperlink>
    </w:p>
    <w:p w14:paraId="30D8D7FD" w14:textId="2271525E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8030138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p w14:paraId="2DEABD54" w14:textId="4B70F15C" w:rsidR="00B024E6" w:rsidRDefault="00B024E6" w:rsidP="00B024E6">
      <w:pPr>
        <w:spacing w:after="0"/>
      </w:pPr>
      <w:r>
        <w:t>BK</w:t>
      </w:r>
      <w:r>
        <w:tab/>
        <w:t>….</w:t>
      </w:r>
      <w:r>
        <w:tab/>
        <w:t>Bezstyková kolej</w:t>
      </w:r>
    </w:p>
    <w:p w14:paraId="340FDFF4" w14:textId="46BEF830" w:rsidR="00B024E6" w:rsidRDefault="00B024E6" w:rsidP="00B024E6">
      <w:pPr>
        <w:spacing w:after="0"/>
      </w:pPr>
      <w:r w:rsidRPr="00B024E6">
        <w:t xml:space="preserve">ESD </w:t>
      </w:r>
      <w:r w:rsidRPr="00B024E6">
        <w:tab/>
      </w:r>
      <w:r>
        <w:t>….</w:t>
      </w:r>
      <w:r w:rsidRPr="00B024E6">
        <w:tab/>
        <w:t>Elektronický stavební deník</w:t>
      </w:r>
    </w:p>
    <w:p w14:paraId="27441830" w14:textId="30EAC9D0" w:rsidR="00B024E6" w:rsidRDefault="00B024E6" w:rsidP="00B024E6">
      <w:pPr>
        <w:spacing w:after="0"/>
      </w:pPr>
      <w:r>
        <w:t>GPK</w:t>
      </w:r>
      <w:r>
        <w:tab/>
        <w:t>….</w:t>
      </w:r>
      <w:r>
        <w:tab/>
        <w:t>Geometrická poloha koleje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221DD1" w14:paraId="50F10184" w14:textId="77777777" w:rsidTr="00401125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9B7B8" w14:textId="6EEF0D72" w:rsidR="00221DD1" w:rsidRPr="00221DD1" w:rsidRDefault="00221DD1" w:rsidP="00401125">
            <w:pPr>
              <w:pStyle w:val="Zkratky1"/>
              <w:rPr>
                <w:b w:val="0"/>
                <w:sz w:val="20"/>
                <w:szCs w:val="20"/>
              </w:rPr>
            </w:pPr>
            <w:r w:rsidRPr="00221DD1">
              <w:rPr>
                <w:b w:val="0"/>
                <w:sz w:val="20"/>
                <w:szCs w:val="20"/>
              </w:rPr>
              <w:t>D+</w:t>
            </w:r>
            <w:proofErr w:type="gramStart"/>
            <w:r w:rsidRPr="00221DD1">
              <w:rPr>
                <w:b w:val="0"/>
                <w:sz w:val="20"/>
                <w:szCs w:val="20"/>
              </w:rPr>
              <w:t xml:space="preserve">B  </w:t>
            </w:r>
            <w:r>
              <w:rPr>
                <w:b w:val="0"/>
                <w:sz w:val="20"/>
                <w:szCs w:val="20"/>
              </w:rPr>
              <w:t xml:space="preserve"> ..</w:t>
            </w:r>
            <w:proofErr w:type="gramEnd"/>
            <w:r w:rsidRPr="00221DD1">
              <w:rPr>
                <w:b w:val="0"/>
                <w:sz w:val="20"/>
                <w:szCs w:val="20"/>
              </w:rPr>
              <w:t>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39BC13" w14:textId="4E0AB625" w:rsidR="00221DD1" w:rsidRPr="00221DD1" w:rsidRDefault="00221DD1" w:rsidP="00401125">
            <w:pPr>
              <w:pStyle w:val="Zkratky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21DD1">
              <w:rPr>
                <w:sz w:val="20"/>
                <w:szCs w:val="20"/>
              </w:rPr>
              <w:t>Design &amp; Build (zadání stavby v režimu – „vyprojektuj a postav“)</w:t>
            </w:r>
          </w:p>
        </w:tc>
      </w:tr>
    </w:tbl>
    <w:p w14:paraId="03CAC4D7" w14:textId="0EACFC9D" w:rsidR="00B024E6" w:rsidRDefault="00B024E6" w:rsidP="00B024E6">
      <w:pPr>
        <w:spacing w:after="0"/>
      </w:pPr>
      <w:r>
        <w:t>LIS</w:t>
      </w:r>
      <w:r>
        <w:tab/>
        <w:t>….</w:t>
      </w:r>
      <w:r>
        <w:tab/>
        <w:t xml:space="preserve">Lepený izolovaný styk </w:t>
      </w:r>
    </w:p>
    <w:p w14:paraId="5427670F" w14:textId="32684C98" w:rsidR="00B024E6" w:rsidRDefault="00B024E6" w:rsidP="00B024E6">
      <w:pPr>
        <w:spacing w:after="0"/>
      </w:pPr>
      <w:r>
        <w:t>MIB</w:t>
      </w:r>
      <w:r>
        <w:tab/>
        <w:t>….</w:t>
      </w:r>
      <w:r>
        <w:tab/>
        <w:t>Magnetický informační bod</w:t>
      </w:r>
    </w:p>
    <w:p w14:paraId="6E6D12EE" w14:textId="137EE49F" w:rsidR="00B024E6" w:rsidRDefault="00B024E6" w:rsidP="00B024E6">
      <w:pPr>
        <w:spacing w:after="0"/>
      </w:pPr>
      <w:proofErr w:type="spellStart"/>
      <w:r>
        <w:t>Odb</w:t>
      </w:r>
      <w:proofErr w:type="spellEnd"/>
      <w:r>
        <w:t>.</w:t>
      </w:r>
      <w:r>
        <w:tab/>
        <w:t>….</w:t>
      </w:r>
      <w:r>
        <w:tab/>
        <w:t>Odbočka</w:t>
      </w:r>
    </w:p>
    <w:p w14:paraId="43C0B42E" w14:textId="3AC6F1AF" w:rsidR="00B024E6" w:rsidRDefault="00B024E6" w:rsidP="00B024E6">
      <w:pPr>
        <w:spacing w:after="0"/>
      </w:pPr>
      <w:r w:rsidRPr="00B024E6">
        <w:t xml:space="preserve">OUA </w:t>
      </w:r>
      <w:r>
        <w:tab/>
        <w:t>….</w:t>
      </w:r>
      <w:r w:rsidRPr="00B024E6">
        <w:t xml:space="preserve"> </w:t>
      </w:r>
      <w:r w:rsidRPr="00B024E6">
        <w:tab/>
        <w:t>Opravné a údržbové akce</w:t>
      </w:r>
    </w:p>
    <w:p w14:paraId="39B21891" w14:textId="157F109A" w:rsidR="00785BE0" w:rsidRDefault="00B024E6" w:rsidP="00B024E6">
      <w:pPr>
        <w:spacing w:after="0"/>
      </w:pPr>
      <w:r>
        <w:t>SK</w:t>
      </w:r>
      <w:r>
        <w:tab/>
        <w:t>….</w:t>
      </w:r>
      <w:r>
        <w:tab/>
        <w:t>Staniční kolej</w:t>
      </w:r>
    </w:p>
    <w:p w14:paraId="10930BB0" w14:textId="19349DCD" w:rsidR="00B024E6" w:rsidRDefault="00B024E6" w:rsidP="00B024E6">
      <w:pPr>
        <w:spacing w:after="0"/>
      </w:pPr>
      <w:r>
        <w:t>ÚMVŽST</w:t>
      </w:r>
      <w:r>
        <w:tab/>
        <w:t>Úprava majetkových vztahů v železničních stanicích</w:t>
      </w:r>
    </w:p>
    <w:p w14:paraId="66160E51" w14:textId="77777777" w:rsidR="00221DD1" w:rsidRDefault="00221DD1" w:rsidP="00B024E6">
      <w:pPr>
        <w:spacing w:after="0"/>
      </w:pPr>
    </w:p>
    <w:p w14:paraId="74341003" w14:textId="77777777" w:rsidR="00B024E6" w:rsidRDefault="00B024E6" w:rsidP="00B024E6">
      <w:pPr>
        <w:spacing w:after="0"/>
      </w:pPr>
    </w:p>
    <w:p w14:paraId="20467D46" w14:textId="77777777" w:rsidR="00B024E6" w:rsidRPr="00B024E6" w:rsidRDefault="00B024E6" w:rsidP="00B024E6"/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8030139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F74EE60" w14:textId="77777777" w:rsidR="00221DD1" w:rsidRPr="00F92E3A" w:rsidRDefault="00221DD1" w:rsidP="00221DD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73E9DE78" w14:textId="77777777" w:rsidR="00221DD1" w:rsidRPr="00F92E3A" w:rsidRDefault="00221DD1" w:rsidP="00221DD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6E089CB3" w14:textId="77777777" w:rsidR="00221DD1" w:rsidRPr="00F92E3A" w:rsidRDefault="00221DD1" w:rsidP="00221DD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5B7069A6" w14:textId="77777777" w:rsidR="00221DD1" w:rsidRDefault="00221DD1" w:rsidP="00221DD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0291F16E" w14:textId="77777777" w:rsidR="00221DD1" w:rsidRDefault="00221DD1" w:rsidP="00221DD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3137A77" w14:textId="33E7C08F" w:rsidR="00221DD1" w:rsidRPr="00221DD1" w:rsidRDefault="00221DD1" w:rsidP="00221DD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</w:p>
    <w:p w14:paraId="0956A868" w14:textId="77777777" w:rsidR="00221DD1" w:rsidRPr="00221DD1" w:rsidRDefault="00221DD1" w:rsidP="00221DD1">
      <w:pPr>
        <w:pStyle w:val="Odstavecseseznamem"/>
        <w:rPr>
          <w:b/>
          <w:sz w:val="18"/>
          <w:szCs w:val="18"/>
        </w:rPr>
      </w:pPr>
    </w:p>
    <w:p w14:paraId="262F8722" w14:textId="12D0E5FB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803014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Pr="00040CF0" w:rsidRDefault="00DF7BAA" w:rsidP="00DF7BAA">
      <w:pPr>
        <w:pStyle w:val="Nadpis2-2"/>
        <w:rPr>
          <w:b w:val="0"/>
        </w:rPr>
      </w:pPr>
      <w:bookmarkStart w:id="10" w:name="_Toc6410430"/>
      <w:bookmarkStart w:id="11" w:name="_Toc128030141"/>
      <w:r>
        <w:t>Účel a rozsah předmětu Díla</w:t>
      </w:r>
      <w:bookmarkEnd w:id="10"/>
      <w:bookmarkEnd w:id="11"/>
    </w:p>
    <w:p w14:paraId="144B4FC2" w14:textId="77DDBFBC" w:rsidR="00DF7BAA" w:rsidRPr="00927244" w:rsidRDefault="00DF7BAA" w:rsidP="0026613E">
      <w:pPr>
        <w:pStyle w:val="Text2-1"/>
      </w:pPr>
      <w:r w:rsidRPr="00040CF0">
        <w:t xml:space="preserve">Předmětem díla je zhotovení stavby </w:t>
      </w:r>
      <w:r w:rsidR="0026613E" w:rsidRPr="00040CF0">
        <w:t>„</w:t>
      </w:r>
      <w:r w:rsidR="00040CF0" w:rsidRPr="00040CF0">
        <w:t>Oprava koleje v žst. Bohumín Vrbice</w:t>
      </w:r>
      <w:r w:rsidR="0026613E" w:rsidRPr="00040CF0">
        <w:t>“</w:t>
      </w:r>
      <w:r w:rsidR="00BC00EE" w:rsidRPr="00040CF0">
        <w:t>,</w:t>
      </w:r>
      <w:r w:rsidRPr="00040CF0">
        <w:t xml:space="preserve"> jejímž cílem je </w:t>
      </w:r>
      <w:r w:rsidR="00465AB6" w:rsidRPr="00040CF0">
        <w:t>vým</w:t>
      </w:r>
      <w:r w:rsidR="00E63883">
        <w:t>ěna a úprava</w:t>
      </w:r>
      <w:r w:rsidR="00465AB6" w:rsidRPr="00040CF0">
        <w:t xml:space="preserve"> kolejového lože, výměna </w:t>
      </w:r>
      <w:r w:rsidR="00040CF0" w:rsidRPr="00040CF0">
        <w:t>kolejového roštu</w:t>
      </w:r>
      <w:r w:rsidR="00E63883">
        <w:t xml:space="preserve">, </w:t>
      </w:r>
      <w:r w:rsidR="00040CF0" w:rsidRPr="00040CF0">
        <w:t>svaření do bezstykové koleje</w:t>
      </w:r>
      <w:r w:rsidR="00E63883">
        <w:t xml:space="preserve"> a zřízení nových stezek</w:t>
      </w:r>
      <w:r w:rsidRPr="00040CF0">
        <w:t>.</w:t>
      </w:r>
    </w:p>
    <w:p w14:paraId="46216530" w14:textId="4D1C64B2" w:rsidR="00ED53DE" w:rsidRPr="00040CF0" w:rsidRDefault="00A16611" w:rsidP="00927244">
      <w:pPr>
        <w:pStyle w:val="Text2-1"/>
      </w:pPr>
      <w:r w:rsidRPr="00927244">
        <w:t>Rozsah Díla „</w:t>
      </w:r>
      <w:r w:rsidR="00927244" w:rsidRPr="00927244">
        <w:t>Oprava koleje v žst. Bohumín Vrbice</w:t>
      </w:r>
      <w:r w:rsidRPr="00040CF0">
        <w:t xml:space="preserve">“ je </w:t>
      </w:r>
      <w:r w:rsidR="004D4C6A" w:rsidRPr="00040CF0">
        <w:t>opravná</w:t>
      </w:r>
      <w:r w:rsidR="002606E0" w:rsidRPr="00040CF0">
        <w:t xml:space="preserve"> akce zaměřená na odstranění defektoskopických vad, ojetých kolejnic tvaru S49 (49E1)</w:t>
      </w:r>
      <w:r w:rsidR="004D4C6A" w:rsidRPr="00040CF0">
        <w:t xml:space="preserve"> a rozpadlých </w:t>
      </w:r>
      <w:r w:rsidR="00927244">
        <w:t xml:space="preserve">dřevěných </w:t>
      </w:r>
      <w:r w:rsidR="004D4C6A" w:rsidRPr="00040CF0">
        <w:t>pražců</w:t>
      </w:r>
      <w:r w:rsidR="002606E0" w:rsidRPr="00040CF0">
        <w:t xml:space="preserve"> </w:t>
      </w:r>
      <w:r w:rsidR="00927244">
        <w:t>v koleji</w:t>
      </w:r>
      <w:r w:rsidR="004D4C6A" w:rsidRPr="00040CF0">
        <w:t xml:space="preserve"> vým</w:t>
      </w:r>
      <w:r w:rsidR="00927244">
        <w:t>ěnou za užité betonové pražce SB8,</w:t>
      </w:r>
      <w:r w:rsidR="004D4C6A" w:rsidRPr="00040CF0">
        <w:t xml:space="preserve"> </w:t>
      </w:r>
      <w:r w:rsidR="002606E0" w:rsidRPr="00040CF0">
        <w:t>včetně výměny pryžových podložek pod patou kolejnice</w:t>
      </w:r>
      <w:r w:rsidR="004D4C6A" w:rsidRPr="00040CF0">
        <w:t xml:space="preserve"> a</w:t>
      </w:r>
      <w:r w:rsidR="002606E0" w:rsidRPr="00040CF0">
        <w:t xml:space="preserve"> zřízení bezstykové koleje s úpravo</w:t>
      </w:r>
      <w:r w:rsidR="004D4C6A" w:rsidRPr="00040CF0">
        <w:t>u upínací teploty v opravovaném úseku</w:t>
      </w:r>
      <w:r w:rsidR="00D008B9" w:rsidRPr="00040CF0">
        <w:t>,</w:t>
      </w:r>
      <w:r w:rsidR="002606E0" w:rsidRPr="00040CF0">
        <w:t xml:space="preserve"> </w:t>
      </w:r>
      <w:r w:rsidR="007E1F23" w:rsidRPr="00040CF0">
        <w:t>oprava</w:t>
      </w:r>
      <w:r w:rsidR="004D4C6A" w:rsidRPr="00040CF0">
        <w:t xml:space="preserve"> žel. spodku, </w:t>
      </w:r>
      <w:r w:rsidR="00ED53DE" w:rsidRPr="00040CF0">
        <w:t>výměna kolejového lože</w:t>
      </w:r>
    </w:p>
    <w:p w14:paraId="7959D86F" w14:textId="71FD92F6" w:rsidR="00CE2A6B" w:rsidRPr="002753EF" w:rsidRDefault="00CE2A6B" w:rsidP="00517E55">
      <w:pPr>
        <w:pStyle w:val="Text2-1"/>
      </w:pPr>
      <w:r w:rsidRPr="002753EF">
        <w:t>Rozsah Díla je rozdělen do těchto stavebních objektů či provozních souborů:</w:t>
      </w:r>
    </w:p>
    <w:p w14:paraId="2F346A73" w14:textId="0134BD26" w:rsidR="00BF0377" w:rsidRPr="00BF0377" w:rsidRDefault="00EE54C5" w:rsidP="00BF0377">
      <w:pPr>
        <w:jc w:val="both"/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 xml:space="preserve">SO 01 – ST - </w:t>
      </w:r>
      <w:r w:rsidRPr="00EE54C5">
        <w:rPr>
          <w:rFonts w:asciiTheme="majorHAnsi" w:hAnsiTheme="majorHAnsi"/>
          <w:b/>
          <w:sz w:val="18"/>
          <w:szCs w:val="18"/>
        </w:rPr>
        <w:t>Oprava koleje v žst. Bohumín Vrbice</w:t>
      </w:r>
    </w:p>
    <w:p w14:paraId="7BD66611" w14:textId="77777777" w:rsidR="00FA01C2" w:rsidRPr="00FA01C2" w:rsidRDefault="00FA01C2" w:rsidP="00FA01C2">
      <w:pPr>
        <w:spacing w:after="0" w:line="240" w:lineRule="auto"/>
        <w:rPr>
          <w:b/>
          <w:sz w:val="18"/>
          <w:szCs w:val="18"/>
          <w:u w:val="single"/>
        </w:rPr>
      </w:pPr>
      <w:r w:rsidRPr="00FA01C2">
        <w:rPr>
          <w:b/>
          <w:sz w:val="18"/>
          <w:szCs w:val="18"/>
          <w:u w:val="single"/>
        </w:rPr>
        <w:t>Oprava koleje 624 (km 272,146 – 272,770)</w:t>
      </w:r>
    </w:p>
    <w:p w14:paraId="6B169069" w14:textId="77777777" w:rsidR="00FA01C2" w:rsidRPr="00FA01C2" w:rsidRDefault="00FA01C2" w:rsidP="00FA01C2">
      <w:pPr>
        <w:spacing w:after="0" w:line="240" w:lineRule="auto"/>
        <w:rPr>
          <w:sz w:val="18"/>
          <w:szCs w:val="18"/>
        </w:rPr>
      </w:pPr>
    </w:p>
    <w:p w14:paraId="5BAEFE42" w14:textId="77777777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>zajištění vyjádření správců inženýrských sítí (mimo SEE, SSZT a Telematika)</w:t>
      </w:r>
    </w:p>
    <w:p w14:paraId="635D1C64" w14:textId="77777777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>-vytýčení inženýrských sítí</w:t>
      </w:r>
    </w:p>
    <w:p w14:paraId="0617102F" w14:textId="31E63385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>-p</w:t>
      </w:r>
      <w:r w:rsidR="00FD6CFE">
        <w:rPr>
          <w:sz w:val="18"/>
          <w:szCs w:val="18"/>
        </w:rPr>
        <w:t>rovede řezy kolejnic S49</w:t>
      </w:r>
    </w:p>
    <w:p w14:paraId="3DD4851C" w14:textId="418954FF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>-demontáž a</w:t>
      </w:r>
      <w:r w:rsidR="00FD6CFE">
        <w:rPr>
          <w:sz w:val="18"/>
          <w:szCs w:val="18"/>
        </w:rPr>
        <w:t xml:space="preserve"> montáž propojovacích lan </w:t>
      </w:r>
    </w:p>
    <w:p w14:paraId="1D035931" w14:textId="14CF6122" w:rsidR="00FA01C2" w:rsidRPr="00FA01C2" w:rsidRDefault="00FD6CFE" w:rsidP="00FA01C2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-demontáž a montáž ukolejnění </w:t>
      </w:r>
    </w:p>
    <w:p w14:paraId="2481745C" w14:textId="33CB9796" w:rsidR="00FA01C2" w:rsidRPr="00FA01C2" w:rsidRDefault="00FD6CFE" w:rsidP="00FA01C2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-demontáž a montáž </w:t>
      </w:r>
      <w:proofErr w:type="spellStart"/>
      <w:r>
        <w:rPr>
          <w:sz w:val="18"/>
          <w:szCs w:val="18"/>
        </w:rPr>
        <w:t>balýz</w:t>
      </w:r>
      <w:proofErr w:type="spellEnd"/>
      <w:r>
        <w:rPr>
          <w:sz w:val="18"/>
          <w:szCs w:val="18"/>
        </w:rPr>
        <w:t xml:space="preserve"> </w:t>
      </w:r>
    </w:p>
    <w:p w14:paraId="1559B2CF" w14:textId="77777777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 xml:space="preserve">-demontáž koleje v ose pražce </w:t>
      </w:r>
      <w:proofErr w:type="spellStart"/>
      <w:r w:rsidRPr="00FA01C2">
        <w:rPr>
          <w:sz w:val="18"/>
          <w:szCs w:val="18"/>
        </w:rPr>
        <w:t>dř</w:t>
      </w:r>
      <w:proofErr w:type="spellEnd"/>
      <w:r w:rsidRPr="00FA01C2">
        <w:rPr>
          <w:sz w:val="18"/>
          <w:szCs w:val="18"/>
        </w:rPr>
        <w:t xml:space="preserve">., ŽS4, S49, rozdělení „c“ </w:t>
      </w:r>
      <w:proofErr w:type="gramStart"/>
      <w:r w:rsidRPr="00FA01C2">
        <w:rPr>
          <w:sz w:val="18"/>
          <w:szCs w:val="18"/>
        </w:rPr>
        <w:t>625m</w:t>
      </w:r>
      <w:proofErr w:type="gramEnd"/>
    </w:p>
    <w:p w14:paraId="2D2D6A52" w14:textId="77777777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 xml:space="preserve">-odstraní štěrkového lože do hl. </w:t>
      </w:r>
      <w:proofErr w:type="gramStart"/>
      <w:r w:rsidRPr="00FA01C2">
        <w:rPr>
          <w:sz w:val="18"/>
          <w:szCs w:val="18"/>
        </w:rPr>
        <w:t>350cm</w:t>
      </w:r>
      <w:proofErr w:type="gramEnd"/>
      <w:r w:rsidRPr="00FA01C2">
        <w:rPr>
          <w:sz w:val="18"/>
          <w:szCs w:val="18"/>
        </w:rPr>
        <w:t xml:space="preserve"> pod ložnou plochu pražce (SB8, S49)</w:t>
      </w:r>
    </w:p>
    <w:p w14:paraId="42548B54" w14:textId="5D3763C0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>-vyzí</w:t>
      </w:r>
      <w:r w:rsidR="00FD6CFE">
        <w:rPr>
          <w:sz w:val="18"/>
          <w:szCs w:val="18"/>
        </w:rPr>
        <w:t>skaný materiál odveze na úložiště</w:t>
      </w:r>
      <w:r w:rsidRPr="00FA01C2">
        <w:rPr>
          <w:sz w:val="18"/>
          <w:szCs w:val="18"/>
        </w:rPr>
        <w:t xml:space="preserve"> objednatele do </w:t>
      </w:r>
      <w:proofErr w:type="gramStart"/>
      <w:r w:rsidRPr="00FA01C2">
        <w:rPr>
          <w:sz w:val="18"/>
          <w:szCs w:val="18"/>
        </w:rPr>
        <w:t>10km</w:t>
      </w:r>
      <w:proofErr w:type="gramEnd"/>
    </w:p>
    <w:p w14:paraId="4071F08E" w14:textId="77777777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 xml:space="preserve">-urovná, zhutní pláň pro kolej a zřídí nové kolejové lože frakce 32-63 </w:t>
      </w:r>
      <w:proofErr w:type="spellStart"/>
      <w:r w:rsidRPr="00FA01C2">
        <w:rPr>
          <w:sz w:val="18"/>
          <w:szCs w:val="18"/>
        </w:rPr>
        <w:t>tl</w:t>
      </w:r>
      <w:proofErr w:type="spellEnd"/>
      <w:r w:rsidRPr="00FA01C2">
        <w:rPr>
          <w:sz w:val="18"/>
          <w:szCs w:val="18"/>
        </w:rPr>
        <w:t xml:space="preserve">. </w:t>
      </w:r>
      <w:proofErr w:type="gramStart"/>
      <w:r w:rsidRPr="00FA01C2">
        <w:rPr>
          <w:sz w:val="18"/>
          <w:szCs w:val="18"/>
        </w:rPr>
        <w:t>350mm</w:t>
      </w:r>
      <w:proofErr w:type="gramEnd"/>
      <w:r w:rsidRPr="00FA01C2">
        <w:rPr>
          <w:sz w:val="18"/>
          <w:szCs w:val="18"/>
        </w:rPr>
        <w:t xml:space="preserve"> pod ložnou plochu pražce</w:t>
      </w:r>
    </w:p>
    <w:p w14:paraId="6E2645A9" w14:textId="05FDE816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 xml:space="preserve">-montáž koleje v ose pražce SB8, ŽS4, S49, rozdělení „c“ </w:t>
      </w:r>
      <w:proofErr w:type="gramStart"/>
      <w:r w:rsidRPr="00FA01C2">
        <w:rPr>
          <w:sz w:val="18"/>
          <w:szCs w:val="18"/>
        </w:rPr>
        <w:t>625m</w:t>
      </w:r>
      <w:proofErr w:type="gramEnd"/>
      <w:r w:rsidR="00FD6CFE">
        <w:rPr>
          <w:sz w:val="18"/>
          <w:szCs w:val="18"/>
        </w:rPr>
        <w:t xml:space="preserve"> (použijí se stávající kolejnice + doplnění užitých kolejnicových vložek)</w:t>
      </w:r>
    </w:p>
    <w:p w14:paraId="4D4B4893" w14:textId="77777777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>-dosypání štěrkového lože</w:t>
      </w:r>
    </w:p>
    <w:p w14:paraId="5C2C03B2" w14:textId="77777777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 xml:space="preserve">-úprava GPK </w:t>
      </w:r>
    </w:p>
    <w:p w14:paraId="1F96AAC5" w14:textId="0E5BB51A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 xml:space="preserve">-následná úprava GPK </w:t>
      </w:r>
      <w:r w:rsidR="00FD6CFE">
        <w:rPr>
          <w:sz w:val="18"/>
          <w:szCs w:val="18"/>
        </w:rPr>
        <w:t xml:space="preserve">s doplněním štěrkového lože </w:t>
      </w:r>
      <w:r w:rsidRPr="00FA01C2">
        <w:rPr>
          <w:sz w:val="18"/>
          <w:szCs w:val="18"/>
        </w:rPr>
        <w:t xml:space="preserve"> </w:t>
      </w:r>
    </w:p>
    <w:p w14:paraId="7221F8A4" w14:textId="77777777" w:rsidR="00FA01C2" w:rsidRPr="00FA01C2" w:rsidRDefault="00FA01C2" w:rsidP="00FA01C2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>-provede konečnou úpravu štěrkového lože do profilu po následném podbití</w:t>
      </w:r>
    </w:p>
    <w:p w14:paraId="1C4CAACF" w14:textId="12C450A5" w:rsidR="00FA01C2" w:rsidRPr="00FA01C2" w:rsidRDefault="00337F85" w:rsidP="00FA01C2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-vložení nových </w:t>
      </w:r>
      <w:proofErr w:type="spellStart"/>
      <w:r>
        <w:rPr>
          <w:sz w:val="18"/>
          <w:szCs w:val="18"/>
        </w:rPr>
        <w:t>LISů</w:t>
      </w:r>
      <w:proofErr w:type="spellEnd"/>
      <w:r w:rsidR="00FD6CFE">
        <w:rPr>
          <w:sz w:val="18"/>
          <w:szCs w:val="18"/>
        </w:rPr>
        <w:t xml:space="preserve"> a svaření do BK </w:t>
      </w:r>
    </w:p>
    <w:p w14:paraId="44418B29" w14:textId="5741C5DD" w:rsidR="00FA01C2" w:rsidRPr="00FA01C2" w:rsidRDefault="00FD6CFE" w:rsidP="00FA01C2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-zřízení nových stezek </w:t>
      </w:r>
    </w:p>
    <w:p w14:paraId="7F298EDD" w14:textId="4893FB45" w:rsidR="00FA01C2" w:rsidRPr="00FA01C2" w:rsidRDefault="00FA01C2" w:rsidP="00BF0377">
      <w:pPr>
        <w:spacing w:after="0" w:line="240" w:lineRule="auto"/>
        <w:rPr>
          <w:sz w:val="18"/>
          <w:szCs w:val="18"/>
        </w:rPr>
      </w:pPr>
    </w:p>
    <w:p w14:paraId="13B2CD33" w14:textId="39E90A28" w:rsidR="00A207D9" w:rsidRPr="00FA01C2" w:rsidRDefault="00A207D9" w:rsidP="00BF0377">
      <w:pPr>
        <w:spacing w:after="0" w:line="240" w:lineRule="auto"/>
        <w:rPr>
          <w:sz w:val="18"/>
          <w:szCs w:val="18"/>
        </w:rPr>
      </w:pPr>
      <w:r w:rsidRPr="00FA01C2">
        <w:rPr>
          <w:sz w:val="18"/>
          <w:szCs w:val="18"/>
        </w:rPr>
        <w:t>Materiál dodaný zhotovitelem je uvedený ve výkazu výměr</w:t>
      </w:r>
      <w:r w:rsidR="00221DD1">
        <w:rPr>
          <w:sz w:val="18"/>
          <w:szCs w:val="18"/>
        </w:rPr>
        <w:t>.</w:t>
      </w:r>
    </w:p>
    <w:p w14:paraId="1295CB12" w14:textId="77777777" w:rsidR="00BF0377" w:rsidRPr="00FA01C2" w:rsidRDefault="00BF0377" w:rsidP="00BF0377">
      <w:pPr>
        <w:spacing w:after="0" w:line="240" w:lineRule="auto"/>
        <w:jc w:val="both"/>
        <w:rPr>
          <w:b/>
          <w:sz w:val="18"/>
          <w:szCs w:val="18"/>
        </w:rPr>
      </w:pP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8030142"/>
      <w:r>
        <w:t>Umístění stavby</w:t>
      </w:r>
      <w:bookmarkEnd w:id="12"/>
      <w:bookmarkEnd w:id="13"/>
    </w:p>
    <w:p w14:paraId="4DFE4759" w14:textId="3B809F23" w:rsidR="006972D4" w:rsidRDefault="00DF7BAA" w:rsidP="005A6C0C">
      <w:pPr>
        <w:pStyle w:val="Text2-1"/>
      </w:pPr>
      <w:r>
        <w:t xml:space="preserve">Stavba bude probíhat na trati </w:t>
      </w:r>
      <w:r w:rsidR="00040CF0">
        <w:t xml:space="preserve">Přerov – </w:t>
      </w:r>
      <w:proofErr w:type="spellStart"/>
      <w:r w:rsidR="00040CF0">
        <w:t>Zebrzydowice</w:t>
      </w:r>
      <w:proofErr w:type="spellEnd"/>
      <w:r w:rsidR="00040CF0">
        <w:t xml:space="preserve">, </w:t>
      </w:r>
      <w:proofErr w:type="spellStart"/>
      <w:r w:rsidR="00040CF0">
        <w:t>žst</w:t>
      </w:r>
      <w:proofErr w:type="spellEnd"/>
      <w:r w:rsidR="00040CF0">
        <w:t xml:space="preserve"> Bohumín Vrbice</w:t>
      </w:r>
    </w:p>
    <w:p w14:paraId="46BB6011" w14:textId="063FB667" w:rsidR="00517E55" w:rsidRPr="0009754F" w:rsidRDefault="00517E55" w:rsidP="00517E55">
      <w:pPr>
        <w:pStyle w:val="Text2-1"/>
        <w:numPr>
          <w:ilvl w:val="0"/>
          <w:numId w:val="0"/>
        </w:numPr>
        <w:ind w:firstLine="709"/>
      </w:pPr>
      <w:r>
        <w:t>Kraj</w:t>
      </w:r>
      <w:r w:rsidRPr="0009754F">
        <w:t xml:space="preserve">: </w:t>
      </w:r>
      <w:r w:rsidR="0009754F" w:rsidRPr="0009754F">
        <w:t>Severomoravský</w:t>
      </w:r>
    </w:p>
    <w:p w14:paraId="50C118F7" w14:textId="67026E32" w:rsidR="00517E55" w:rsidRPr="0009754F" w:rsidRDefault="00517E55" w:rsidP="00517E55">
      <w:pPr>
        <w:pStyle w:val="Text2-1"/>
        <w:numPr>
          <w:ilvl w:val="0"/>
          <w:numId w:val="0"/>
        </w:numPr>
        <w:ind w:firstLine="709"/>
      </w:pPr>
      <w:r w:rsidRPr="0009754F">
        <w:t xml:space="preserve">Okres: </w:t>
      </w:r>
      <w:r w:rsidR="00EE54C5">
        <w:t>Karviná</w:t>
      </w:r>
    </w:p>
    <w:p w14:paraId="2BC5441F" w14:textId="271ACA6E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09754F">
        <w:t xml:space="preserve">Obec: </w:t>
      </w:r>
      <w:r w:rsidR="00EE54C5">
        <w:t>Bohumín</w:t>
      </w:r>
    </w:p>
    <w:p w14:paraId="03957CE5" w14:textId="383AF494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11365B">
        <w:t>1891NA</w:t>
      </w:r>
    </w:p>
    <w:p w14:paraId="09F5040D" w14:textId="56B73722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EE54C5">
        <w:rPr>
          <w:rFonts w:eastAsia="Calibri" w:cs="Calibri"/>
          <w:bCs/>
          <w:lang w:eastAsia="cs-CZ"/>
        </w:rPr>
        <w:t>Bohumín</w:t>
      </w:r>
    </w:p>
    <w:p w14:paraId="691293AA" w14:textId="753CD9DD" w:rsidR="00517E55" w:rsidRPr="00557246" w:rsidRDefault="00517E55" w:rsidP="00557246">
      <w:pPr>
        <w:pStyle w:val="Text2-1"/>
        <w:numPr>
          <w:ilvl w:val="0"/>
          <w:numId w:val="0"/>
        </w:numPr>
        <w:ind w:left="709"/>
        <w:rPr>
          <w:rFonts w:eastAsia="Calibri" w:cs="Calibri"/>
          <w:bCs/>
          <w:lang w:eastAsia="cs-CZ"/>
        </w:rPr>
      </w:pPr>
      <w:r>
        <w:t>P.</w:t>
      </w:r>
      <w:r w:rsidR="00557246">
        <w:t xml:space="preserve"> </w:t>
      </w:r>
      <w:r>
        <w:t xml:space="preserve">č. dotčeného pozemku: </w:t>
      </w:r>
      <w:r w:rsidR="00EE54C5">
        <w:rPr>
          <w:rFonts w:eastAsia="Calibri" w:cs="Calibri"/>
          <w:bCs/>
          <w:lang w:eastAsia="cs-CZ"/>
        </w:rPr>
        <w:t>530/42 ( ČD, a.s.</w:t>
      </w:r>
      <w:r w:rsidR="001E2BD0">
        <w:rPr>
          <w:rFonts w:eastAsia="Calibri" w:cs="Calibri"/>
          <w:bCs/>
          <w:lang w:eastAsia="cs-CZ"/>
        </w:rPr>
        <w:t>), 185</w:t>
      </w:r>
      <w:r w:rsidR="00557246" w:rsidRPr="00C533A3">
        <w:rPr>
          <w:rFonts w:eastAsia="Calibri" w:cs="Calibri"/>
          <w:bCs/>
          <w:lang w:eastAsia="cs-CZ"/>
        </w:rPr>
        <w:t>/</w:t>
      </w:r>
      <w:r w:rsidR="001E2BD0">
        <w:rPr>
          <w:rFonts w:eastAsia="Calibri" w:cs="Calibri"/>
          <w:bCs/>
          <w:lang w:eastAsia="cs-CZ"/>
        </w:rPr>
        <w:t>6</w:t>
      </w:r>
    </w:p>
    <w:p w14:paraId="2F0403DD" w14:textId="4B35DAD0" w:rsidR="00DF7BAA" w:rsidRPr="00EE54C5" w:rsidRDefault="00517E55" w:rsidP="00517E55">
      <w:pPr>
        <w:pStyle w:val="Text2-1"/>
        <w:numPr>
          <w:ilvl w:val="0"/>
          <w:numId w:val="0"/>
        </w:numPr>
        <w:ind w:firstLine="709"/>
        <w:rPr>
          <w:color w:val="FF0000"/>
        </w:rPr>
      </w:pPr>
      <w:r>
        <w:t xml:space="preserve">Zařazení </w:t>
      </w:r>
      <w:r w:rsidRPr="00040CF0">
        <w:t xml:space="preserve">tratě: </w:t>
      </w:r>
      <w:r w:rsidR="00040CF0" w:rsidRPr="00040CF0">
        <w:t>celostátní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8030143"/>
      <w:r>
        <w:lastRenderedPageBreak/>
        <w:t>PŘEHLED VÝCHOZÍCH PODKLADŮ</w:t>
      </w:r>
      <w:bookmarkEnd w:id="14"/>
      <w:bookmarkEnd w:id="15"/>
    </w:p>
    <w:p w14:paraId="6A2039BC" w14:textId="6BF70B06" w:rsidR="00DF7BAA" w:rsidRDefault="00DF7BAA" w:rsidP="00DF7BAA">
      <w:pPr>
        <w:pStyle w:val="Nadpis2-2"/>
      </w:pPr>
      <w:bookmarkStart w:id="16" w:name="_Toc6410433"/>
      <w:bookmarkStart w:id="17" w:name="_Toc128030144"/>
      <w:r>
        <w:t>Projektová dokumentace</w:t>
      </w:r>
      <w:bookmarkEnd w:id="16"/>
      <w:bookmarkEnd w:id="17"/>
    </w:p>
    <w:p w14:paraId="252F018D" w14:textId="46E82364" w:rsidR="00040CF0" w:rsidRDefault="00D72A99" w:rsidP="00040CF0">
      <w:pPr>
        <w:pStyle w:val="Text2-1"/>
      </w:pPr>
      <w:r>
        <w:t>Objednatel dodá zjednodušený projet vyhotovený SŽG</w:t>
      </w:r>
      <w:r w:rsidR="00221DD1">
        <w:t xml:space="preserve"> vybranému </w:t>
      </w:r>
      <w:proofErr w:type="spellStart"/>
      <w:r w:rsidR="00221DD1">
        <w:t>dodavteli</w:t>
      </w:r>
      <w:proofErr w:type="spellEnd"/>
      <w:r w:rsidR="00221DD1">
        <w:t xml:space="preserve"> před zahájením stavby.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28030145"/>
      <w:r w:rsidRPr="00860F4E">
        <w:t>Související dokumentace</w:t>
      </w:r>
      <w:bookmarkEnd w:id="18"/>
      <w:bookmarkEnd w:id="19"/>
    </w:p>
    <w:p w14:paraId="13D399A6" w14:textId="38672D76" w:rsidR="00FC6B75" w:rsidRDefault="008170FD" w:rsidP="00040CF0">
      <w:pPr>
        <w:pStyle w:val="Text2-1"/>
      </w:pPr>
      <w:r>
        <w:t xml:space="preserve">Stavba 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28030146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8030147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8030148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7AD8B98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r w:rsidR="00221DD1">
        <w:t>nepoužije</w:t>
      </w:r>
      <w:r w:rsidR="00F04838">
        <w:t>.</w:t>
      </w:r>
    </w:p>
    <w:p w14:paraId="13EDD7E0" w14:textId="5ABE12E5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 xml:space="preserve">se </w:t>
      </w:r>
      <w:r w:rsidR="00221DD1">
        <w:t>nepoužije</w:t>
      </w:r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585EB9EE" w:rsidR="00EB6387" w:rsidRDefault="00EB6387" w:rsidP="007345FE">
      <w:pPr>
        <w:pStyle w:val="Text2-2"/>
        <w:ind w:left="1701" w:hanging="992"/>
      </w:pPr>
      <w:r w:rsidRPr="00EB6387">
        <w:lastRenderedPageBreak/>
        <w:t xml:space="preserve">V čl. 1.7.3.5 TKP, se </w:t>
      </w:r>
      <w:r w:rsidR="00221DD1">
        <w:t>nepoužij</w:t>
      </w:r>
      <w:r w:rsidRPr="00EB6387">
        <w:t>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5E8B97B8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221DD1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A849711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r w:rsidR="00221DD1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616E8D77" w:rsidR="001A001A" w:rsidRPr="001A001A" w:rsidRDefault="001A001A" w:rsidP="007345FE">
      <w:pPr>
        <w:pStyle w:val="Text2-2"/>
        <w:ind w:left="1701" w:hanging="992"/>
      </w:pPr>
      <w:r w:rsidRPr="001A001A">
        <w:t>Čl. 1.9.4 TKP, odst.</w:t>
      </w:r>
      <w:r w:rsidR="00B66548">
        <w:t xml:space="preserve"> </w:t>
      </w:r>
      <w:r w:rsidRPr="001A001A">
        <w:t>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2E3755A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r w:rsidR="00221DD1">
        <w:t>nepoužije</w:t>
      </w:r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2A6C8E15" w14:textId="4DD875DD" w:rsidR="004C1240" w:rsidRPr="004C1240" w:rsidRDefault="004C1240" w:rsidP="007345FE">
      <w:pPr>
        <w:pStyle w:val="Text2-2"/>
        <w:ind w:left="1701" w:hanging="992"/>
      </w:pPr>
      <w:r>
        <w:t xml:space="preserve">Čl. 1.11.5.1 TKP, se </w:t>
      </w:r>
      <w:r w:rsidR="00221DD1">
        <w:t>nepoužij</w:t>
      </w:r>
      <w:r>
        <w:t>í</w:t>
      </w:r>
      <w:r w:rsidR="00221DD1">
        <w:t xml:space="preserve"> odstavce 4 a 5</w:t>
      </w:r>
      <w:r>
        <w:t>.</w:t>
      </w:r>
    </w:p>
    <w:p w14:paraId="744A9FA1" w14:textId="16A377CE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</w:t>
      </w:r>
      <w:r w:rsidR="00B66548">
        <w:t xml:space="preserve"> </w:t>
      </w:r>
      <w:r w:rsidRPr="00E05363">
        <w:t>XML (datový předpis XDC)“.</w:t>
      </w:r>
    </w:p>
    <w:p w14:paraId="6DDAD84D" w14:textId="27A44B6E" w:rsidR="00735BE7" w:rsidRPr="00735F5B" w:rsidRDefault="00221DD1" w:rsidP="00221DD1">
      <w:pPr>
        <w:pStyle w:val="Text2-1"/>
        <w:ind w:left="709" w:hanging="709"/>
        <w:rPr>
          <w:b/>
        </w:rPr>
      </w:pPr>
      <w:r w:rsidRPr="00172776">
        <w:t>Vzhledem k tomu, že Zadávací dokumentace neobsahuje Všeobecní technické podmínky (VTP), tak odkazy v TKP na VTP jsou odkazem na ZTP</w:t>
      </w:r>
      <w:r w:rsidR="00735BE7" w:rsidRPr="00735F5B">
        <w:rPr>
          <w:b/>
        </w:rPr>
        <w:t>.</w:t>
      </w:r>
    </w:p>
    <w:p w14:paraId="7FA8E2B4" w14:textId="4384EE1D" w:rsidR="00735F5B" w:rsidRPr="008D1303" w:rsidRDefault="00735F5B" w:rsidP="007345FE">
      <w:pPr>
        <w:pStyle w:val="Text2-2"/>
        <w:ind w:left="1701" w:hanging="992"/>
      </w:pPr>
      <w:r>
        <w:t xml:space="preserve">Objednatel se zavazuje zajistit Zhotoviteli právo užívání </w:t>
      </w:r>
      <w:r w:rsidRPr="000906B3">
        <w:t xml:space="preserve">Staveniště, včetně železniční dopravní cesty, v době, kdy je toho třeba, aby mohl Zhotovitel Dílo dokončit řádně a včas za podmínek sjednaných ve Smlouvě. Staveniště (jako </w:t>
      </w:r>
      <w:r w:rsidRPr="000906B3">
        <w:lastRenderedPageBreak/>
        <w:t>celek) bude Zhotoviteli předáno Objednatelem bez zbytečného odkladu</w:t>
      </w:r>
      <w:r w:rsidRPr="005D336A">
        <w:t xml:space="preserve">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>a to v souladu s bodem 5.1.</w:t>
      </w:r>
      <w:r w:rsidR="00221DD1">
        <w:t>4</w:t>
      </w:r>
      <w:r w:rsidR="005D336A" w:rsidRPr="005D336A">
        <w:t xml:space="preserve">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7301D7BD" w14:textId="77777777" w:rsidR="00221DD1" w:rsidRPr="0020474A" w:rsidRDefault="00221DD1" w:rsidP="00221DD1">
      <w:pPr>
        <w:pStyle w:val="Text2-2"/>
        <w:tabs>
          <w:tab w:val="clear" w:pos="5076"/>
          <w:tab w:val="num" w:pos="1701"/>
        </w:tabs>
        <w:ind w:left="1701" w:hanging="992"/>
      </w:pPr>
      <w:r w:rsidRPr="0020474A">
        <w:t>Zhotovitel provede ruční kopané sondy za účelem ověření skutečného vedení inženýrské sítě před započetím zemních prací strojmo.</w:t>
      </w:r>
    </w:p>
    <w:p w14:paraId="7F1726FE" w14:textId="28BE507E" w:rsidR="00221DD1" w:rsidRPr="00C711EA" w:rsidRDefault="00221DD1" w:rsidP="00221DD1">
      <w:pPr>
        <w:pStyle w:val="Text2-2"/>
        <w:ind w:left="1701" w:hanging="99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0906B3" w:rsidRDefault="00DD10A4" w:rsidP="007345FE">
      <w:pPr>
        <w:pStyle w:val="Text2-2"/>
        <w:ind w:left="1701" w:hanging="992"/>
      </w:pPr>
      <w:r w:rsidRPr="00BD583A">
        <w:t xml:space="preserve">V případě plánovaného omezení funkce (výluka závislostí pro vyloučenou kolej) přejezdového zabezpečovacího zařízení (dále jen PZZ), Zhotovitel na své náklady zajistí při jízdě drážních vozidel (Zhotovitele a případných </w:t>
      </w:r>
      <w:r w:rsidRPr="000906B3">
        <w:t>poddodavatelů) střežení těchto PZZ.</w:t>
      </w:r>
    </w:p>
    <w:p w14:paraId="3CAB2E66" w14:textId="6482D20E" w:rsidR="009358DC" w:rsidRPr="000906B3" w:rsidRDefault="00C711EA" w:rsidP="007345FE">
      <w:pPr>
        <w:pStyle w:val="Text2-2"/>
        <w:ind w:left="1701" w:hanging="992"/>
      </w:pPr>
      <w:r w:rsidRPr="000906B3">
        <w:t xml:space="preserve">Předpokládaná doba </w:t>
      </w:r>
      <w:r w:rsidRPr="000906B3">
        <w:rPr>
          <w:b/>
        </w:rPr>
        <w:t>provedení následné úpravy směrového a výškového uspořádání koleje</w:t>
      </w:r>
      <w:r w:rsidRPr="000906B3">
        <w:t xml:space="preserve"> (dále jen „následná úprava GPK“) dle SŽ S3/1 bude v Harmonogramu uveden předpokládaný termín provádění následné úpravy GPK.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lastRenderedPageBreak/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lastRenderedPageBreak/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194E9CD9" w14:textId="6040B2CF" w:rsidR="006F687F" w:rsidRPr="00422860" w:rsidRDefault="006C44FD" w:rsidP="000906B3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7BCD3CAC" w:rsidR="00161BD6" w:rsidRPr="002753EF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</w:t>
      </w:r>
      <w:r w:rsidRPr="002753EF">
        <w:t>provozu / zkušebního provozu.</w:t>
      </w:r>
    </w:p>
    <w:p w14:paraId="430CD5EC" w14:textId="28FE9452" w:rsidR="00055CF5" w:rsidRPr="002753EF" w:rsidRDefault="00055CF5" w:rsidP="007D0B29">
      <w:pPr>
        <w:pStyle w:val="Text2-1"/>
      </w:pPr>
      <w:r w:rsidRPr="002753EF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5_3).</w:t>
      </w:r>
    </w:p>
    <w:p w14:paraId="5E779CFE" w14:textId="578CC826" w:rsidR="00055CF5" w:rsidRPr="002753EF" w:rsidRDefault="00055CF5" w:rsidP="006F3193">
      <w:pPr>
        <w:pStyle w:val="Text2-2"/>
        <w:ind w:left="709" w:hanging="709"/>
      </w:pPr>
      <w:r w:rsidRPr="002753EF">
        <w:t>Z důvodu provedení funkčních zkoušek a měření parametrů TV je Zhotovitel povinen ukončit s dostatečným předstihem veškeré práce před plánovaným časem ukončení napěťové výluky TV. Požadovaný čas ukončení prací Zhotovitelem zapíše objednatel do ,,B“</w:t>
      </w:r>
      <w:r w:rsidR="002753EF">
        <w:t xml:space="preserve"> </w:t>
      </w:r>
      <w:r w:rsidRPr="002753EF">
        <w:t>příkazu vydaného pro vedoucího práce Zhotovitele.</w:t>
      </w:r>
    </w:p>
    <w:p w14:paraId="0B9D7CF6" w14:textId="76316C37" w:rsidR="00055CF5" w:rsidRPr="002753EF" w:rsidRDefault="00055CF5" w:rsidP="006F3193">
      <w:pPr>
        <w:pStyle w:val="Text2-2"/>
        <w:ind w:left="709" w:hanging="709"/>
      </w:pPr>
      <w:r w:rsidRPr="002753EF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 ochraně tohoto majetku. Takto se Zhotovitel jmenovitě zavazuje chránit a nese nebezpečí škody na vypnutém trakčním vedení v celém jeho vyloučeném rozsahu. Rozsah vyloučeného trakčního vedení je uveden v příslušném ROV.</w:t>
      </w:r>
    </w:p>
    <w:p w14:paraId="16426AE8" w14:textId="77777777" w:rsidR="00DF7BAA" w:rsidRDefault="00DF7BAA" w:rsidP="00DF7BAA">
      <w:pPr>
        <w:pStyle w:val="Nadpis2-2"/>
      </w:pPr>
      <w:bookmarkStart w:id="34" w:name="_Toc128030149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7A409E2E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</w:t>
      </w:r>
      <w:r w:rsidRPr="00E62CB8">
        <w:t xml:space="preserve">Objednatele bude uveden kontakt na místně příslušného pracovníka </w:t>
      </w:r>
      <w:proofErr w:type="gramStart"/>
      <w:r w:rsidRPr="00E62CB8">
        <w:t>SŽG  dle</w:t>
      </w:r>
      <w:proofErr w:type="gramEnd"/>
      <w:r w:rsidRPr="00E62CB8">
        <w:t xml:space="preserve"> konkrétního OŘ (</w:t>
      </w:r>
      <w:r w:rsidR="00E62CB8" w:rsidRPr="00E62CB8">
        <w:t xml:space="preserve">Ing. Martin </w:t>
      </w:r>
      <w:proofErr w:type="spellStart"/>
      <w:r w:rsidR="00E62CB8" w:rsidRPr="00E62CB8">
        <w:t>Votoupal</w:t>
      </w:r>
      <w:proofErr w:type="spellEnd"/>
      <w:r w:rsidRPr="00E62CB8">
        <w:t xml:space="preserve">, </w:t>
      </w:r>
      <w:r w:rsidR="00E62CB8" w:rsidRPr="00E62CB8">
        <w:t>+420 727 877 362</w:t>
      </w:r>
      <w:r w:rsidRPr="00E62CB8">
        <w:t xml:space="preserve">, </w:t>
      </w:r>
      <w:r w:rsidR="00E62CB8" w:rsidRPr="00E62CB8">
        <w:t>votoupal@spravazeleznic</w:t>
      </w:r>
      <w:r w:rsidR="00E62CB8">
        <w:t>.cz</w:t>
      </w:r>
      <w:r w:rsidRPr="00E62CB8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lastRenderedPageBreak/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325F1835" w14:textId="26441454" w:rsidR="00DC55C8" w:rsidRPr="002753EF" w:rsidRDefault="00DC55C8" w:rsidP="000906B3">
      <w:pPr>
        <w:pStyle w:val="Text2-1"/>
      </w:pPr>
      <w:r>
        <w:t xml:space="preserve">V případě staveb, které nejsou realizovány podle projektové dokumentace, bude </w:t>
      </w:r>
      <w:r w:rsidRPr="002753EF">
        <w:t>přiměřeně uplatněno ustanovení TKP a dále zjednodušený postup p</w:t>
      </w:r>
      <w:r w:rsidR="000906B3" w:rsidRPr="002753EF">
        <w:t xml:space="preserve">opsaný v následujících bodech. </w:t>
      </w:r>
    </w:p>
    <w:p w14:paraId="78CFF1A1" w14:textId="77777777" w:rsidR="00EA09AD" w:rsidRPr="002753EF" w:rsidRDefault="00EA09AD" w:rsidP="00EA09AD">
      <w:pPr>
        <w:pStyle w:val="Text2-1"/>
      </w:pPr>
      <w:r w:rsidRPr="002753EF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CCC9F4D" w14:textId="49DA2A77" w:rsidR="00EA09AD" w:rsidRPr="002753EF" w:rsidRDefault="00EA09AD" w:rsidP="00EA09AD">
      <w:pPr>
        <w:pStyle w:val="Text2-1"/>
      </w:pPr>
      <w:r w:rsidRPr="002753EF">
        <w:t>Dostupné podklady uvedené v čl. 4.2.</w:t>
      </w:r>
      <w:r w:rsidR="00221DD1">
        <w:t>4</w:t>
      </w:r>
      <w:r w:rsidRPr="002753EF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2753EF" w:rsidRDefault="00DC55C8" w:rsidP="00DC55C8">
      <w:pPr>
        <w:pStyle w:val="Text2-1"/>
      </w:pPr>
      <w:r w:rsidRPr="002753EF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 w:rsidRPr="002753EF">
        <w:t> čl. 1.7.3 TKP ZEMĚMĚŘICKÁ ČINNOST ZAJIŠŤOVANÁ ZHOTOVITELEM</w:t>
      </w:r>
      <w:bookmarkEnd w:id="37"/>
      <w:r w:rsidRPr="002753EF"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 w:rsidRPr="002753EF">
        <w:t xml:space="preserve">Zhotovitel je povinen po dobu realizace stavby chránit body ŽBP. Dojde-li u bodů ŽBP k jejich zničení, poškození, neoprávněnému přemístění nebo učinění </w:t>
      </w:r>
      <w:r>
        <w:t xml:space="preserve">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 xml:space="preserve">Pro stanovení rozsahu šířky věcného břemene pro PS, SO, které jsou anebo budou ve správě či vlastnictví Správy železnic, platí tabulka Rozsah věcných břemen ke stažení na </w:t>
      </w:r>
      <w:r>
        <w:lastRenderedPageBreak/>
        <w:t>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38" w:name="_Toc6410438"/>
      <w:bookmarkStart w:id="39" w:name="_Toc128030150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8"/>
      <w:bookmarkEnd w:id="39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0" w:name="_Toc6410439"/>
      <w:bookmarkStart w:id="41" w:name="_Toc128030151"/>
      <w:r w:rsidRPr="00953A4A">
        <w:t>Dokumentace zhotovitele pro stavbu</w:t>
      </w:r>
      <w:bookmarkEnd w:id="40"/>
      <w:bookmarkEnd w:id="41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9F38ADB" w14:textId="77777777" w:rsidR="00B53E41" w:rsidRPr="006411F1" w:rsidRDefault="00DF7BAA" w:rsidP="0060019A">
      <w:pPr>
        <w:pStyle w:val="Nadpis2-2"/>
      </w:pPr>
      <w:bookmarkStart w:id="42" w:name="_Toc6410440"/>
      <w:bookmarkStart w:id="43" w:name="_Toc128030152"/>
      <w:r w:rsidRPr="006411F1">
        <w:t>Dokumentace skutečného provedení stavby</w:t>
      </w:r>
      <w:bookmarkEnd w:id="42"/>
      <w:bookmarkEnd w:id="43"/>
    </w:p>
    <w:p w14:paraId="09AE9382" w14:textId="7CB8C9B0" w:rsidR="006411F1" w:rsidRPr="006F3193" w:rsidRDefault="006411F1" w:rsidP="006411F1">
      <w:pPr>
        <w:pStyle w:val="Text2-1"/>
        <w:rPr>
          <w:color w:val="00A1E0"/>
        </w:rPr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7DDFC886" w14:textId="77777777" w:rsidR="006F3193" w:rsidRDefault="006F3193" w:rsidP="006F3193">
      <w:pPr>
        <w:pStyle w:val="Nadpis2-2"/>
      </w:pPr>
      <w:bookmarkStart w:id="44" w:name="_Toc6410445"/>
      <w:bookmarkStart w:id="45" w:name="_Toc138236413"/>
      <w:r>
        <w:t>Železniční svršek</w:t>
      </w:r>
      <w:bookmarkEnd w:id="44"/>
      <w:bookmarkEnd w:id="45"/>
      <w:r>
        <w:t xml:space="preserve"> </w:t>
      </w:r>
    </w:p>
    <w:p w14:paraId="47B6088E" w14:textId="2F8055A7" w:rsidR="006F3193" w:rsidRPr="006F3193" w:rsidRDefault="006F3193" w:rsidP="006F3193">
      <w:pPr>
        <w:pStyle w:val="Text2-1"/>
      </w:pPr>
      <w:r>
        <w:t>V rámci stavby dojde k výměně kolejového roštu, výměně kolejového lože, úpravě GPK a zřízení BK. Podrobnější informace viz bod 1.1.3.</w:t>
      </w:r>
    </w:p>
    <w:p w14:paraId="3B67C881" w14:textId="77777777" w:rsidR="00DF7BAA" w:rsidRDefault="00DF7BAA" w:rsidP="00DF7BAA">
      <w:pPr>
        <w:pStyle w:val="Nadpis2-2"/>
      </w:pPr>
      <w:bookmarkStart w:id="46" w:name="_Toc128030153"/>
      <w:bookmarkStart w:id="47" w:name="_Toc6410458"/>
      <w:r>
        <w:t>Životní prostředí</w:t>
      </w:r>
      <w:bookmarkEnd w:id="46"/>
      <w:r>
        <w:t xml:space="preserve"> </w:t>
      </w:r>
      <w:bookmarkEnd w:id="47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3A381931" w14:textId="321D3526" w:rsidR="00DD3D78" w:rsidRPr="00FE588D" w:rsidRDefault="00DD3D78" w:rsidP="00DD3D78">
      <w:pPr>
        <w:pStyle w:val="Nadpis2-2"/>
      </w:pPr>
      <w:bookmarkStart w:id="48" w:name="_Toc128030154"/>
      <w:r w:rsidRPr="00FE588D">
        <w:t>Materiál dodávaný objednatelem (mimo CNM)</w:t>
      </w:r>
      <w:bookmarkEnd w:id="48"/>
    </w:p>
    <w:p w14:paraId="206C3CB0" w14:textId="649D7F6F" w:rsidR="00DD3D78" w:rsidRPr="00722BEB" w:rsidRDefault="00DD3D78" w:rsidP="00722BEB">
      <w:pPr>
        <w:pStyle w:val="Text2-1"/>
      </w:pPr>
      <w:r w:rsidRPr="00722BEB">
        <w:t>Objednatel poskytne zhotoviteli níže uvedený materiál</w:t>
      </w:r>
      <w:r w:rsidR="00722BEB" w:rsidRPr="00722BEB">
        <w:t xml:space="preserve">. </w:t>
      </w:r>
    </w:p>
    <w:p w14:paraId="2E1F447A" w14:textId="77777777" w:rsidR="00D82632" w:rsidRDefault="00D82632" w:rsidP="00D82632">
      <w:pPr>
        <w:pStyle w:val="Text2-1"/>
      </w:pPr>
      <w:r>
        <w:t>Rozsah materiálu (typ a množství) je následující:</w:t>
      </w: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993"/>
        <w:gridCol w:w="1417"/>
      </w:tblGrid>
      <w:tr w:rsidR="00F6329A" w:rsidRPr="00CB3472" w14:paraId="2FD7BC65" w14:textId="77777777" w:rsidTr="00F6329A">
        <w:trPr>
          <w:trHeight w:val="480"/>
        </w:trPr>
        <w:tc>
          <w:tcPr>
            <w:tcW w:w="5098" w:type="dxa"/>
            <w:tcBorders>
              <w:top w:val="single" w:sz="4" w:space="0" w:color="auto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5ECD412F" w14:textId="2AF1EE38" w:rsidR="00F6329A" w:rsidRPr="00CB3472" w:rsidRDefault="00F6329A" w:rsidP="009F13FE">
            <w:pPr>
              <w:spacing w:after="0" w:line="240" w:lineRule="auto"/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</w:pPr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 xml:space="preserve">Pražec betonový příčný </w:t>
            </w:r>
            <w:proofErr w:type="gramStart"/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vystrojený  užitý</w:t>
            </w:r>
            <w:proofErr w:type="gramEnd"/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. SB 8 P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034A87E9" w14:textId="1E4CA054" w:rsidR="00F6329A" w:rsidRPr="00CB3472" w:rsidRDefault="00F6329A" w:rsidP="009F13FE">
            <w:pPr>
              <w:spacing w:after="0" w:line="240" w:lineRule="auto"/>
              <w:jc w:val="center"/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</w:pPr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5D4CB555" w14:textId="7CAF8304" w:rsidR="00F6329A" w:rsidRPr="00CB3472" w:rsidRDefault="00F6329A" w:rsidP="009F13FE">
            <w:pPr>
              <w:spacing w:after="0" w:line="240" w:lineRule="auto"/>
              <w:jc w:val="right"/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</w:pPr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932,000</w:t>
            </w:r>
          </w:p>
        </w:tc>
      </w:tr>
      <w:tr w:rsidR="00F6329A" w:rsidRPr="00CB3472" w14:paraId="4773C55D" w14:textId="77777777" w:rsidTr="00F6329A">
        <w:trPr>
          <w:trHeight w:val="484"/>
        </w:trPr>
        <w:tc>
          <w:tcPr>
            <w:tcW w:w="509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E52DD21" w14:textId="18465AB0" w:rsidR="00F6329A" w:rsidRPr="00CB3472" w:rsidRDefault="00F6329A" w:rsidP="009F13FE">
            <w:pPr>
              <w:spacing w:after="0" w:line="240" w:lineRule="auto"/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 xml:space="preserve">Lepený izolovaný styk </w:t>
            </w:r>
            <w:proofErr w:type="spellStart"/>
            <w:r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tv</w:t>
            </w:r>
            <w:proofErr w:type="spellEnd"/>
            <w:r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. S49</w:t>
            </w:r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 xml:space="preserve"> délky 4,50 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BFA156E" w14:textId="77777777" w:rsidR="00F6329A" w:rsidRPr="00CB3472" w:rsidRDefault="00F6329A" w:rsidP="009F13FE">
            <w:pPr>
              <w:spacing w:after="0" w:line="240" w:lineRule="auto"/>
              <w:jc w:val="center"/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</w:pPr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14D9A7" w14:textId="77777777" w:rsidR="00F6329A" w:rsidRPr="00CB3472" w:rsidRDefault="00F6329A" w:rsidP="009F13FE">
            <w:pPr>
              <w:spacing w:after="0" w:line="240" w:lineRule="auto"/>
              <w:jc w:val="right"/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</w:pPr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3,000</w:t>
            </w:r>
          </w:p>
        </w:tc>
      </w:tr>
      <w:tr w:rsidR="00F6329A" w:rsidRPr="00CB3472" w14:paraId="4482CC01" w14:textId="77777777" w:rsidTr="00F6329A">
        <w:trPr>
          <w:trHeight w:val="484"/>
        </w:trPr>
        <w:tc>
          <w:tcPr>
            <w:tcW w:w="5098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F6756BA" w14:textId="77777777" w:rsidR="00F6329A" w:rsidRPr="00CB3472" w:rsidRDefault="00F6329A" w:rsidP="009F13FE">
            <w:pPr>
              <w:spacing w:after="0" w:line="240" w:lineRule="auto"/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</w:pPr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 xml:space="preserve">Kolejnice užité </w:t>
            </w:r>
            <w:proofErr w:type="spellStart"/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. S49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A770485" w14:textId="77777777" w:rsidR="00F6329A" w:rsidRPr="00CB3472" w:rsidRDefault="00F6329A" w:rsidP="009F13FE">
            <w:pPr>
              <w:spacing w:after="0" w:line="240" w:lineRule="auto"/>
              <w:jc w:val="center"/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</w:pPr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F5522F" w14:textId="77777777" w:rsidR="00F6329A" w:rsidRPr="00CB3472" w:rsidRDefault="00F6329A" w:rsidP="009F13FE">
            <w:pPr>
              <w:spacing w:after="0" w:line="240" w:lineRule="auto"/>
              <w:jc w:val="right"/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</w:pPr>
            <w:r w:rsidRPr="00CB3472">
              <w:rPr>
                <w:rFonts w:ascii="Arial CE" w:eastAsia="Times New Roman" w:hAnsi="Arial CE" w:cs="Arial"/>
                <w:i/>
                <w:iCs/>
                <w:sz w:val="18"/>
                <w:szCs w:val="18"/>
                <w:lang w:eastAsia="cs-CZ"/>
              </w:rPr>
              <w:t>100,000</w:t>
            </w:r>
          </w:p>
        </w:tc>
      </w:tr>
    </w:tbl>
    <w:p w14:paraId="42D0FA18" w14:textId="2A1BE13E" w:rsidR="00AA63AC" w:rsidRDefault="00AA63AC" w:rsidP="00D82632">
      <w:pPr>
        <w:pStyle w:val="Text2-1"/>
        <w:numPr>
          <w:ilvl w:val="0"/>
          <w:numId w:val="0"/>
        </w:numPr>
        <w:ind w:left="737"/>
        <w:rPr>
          <w:color w:val="FF0000"/>
        </w:rPr>
      </w:pPr>
    </w:p>
    <w:p w14:paraId="068D83CA" w14:textId="77777777" w:rsidR="00DF303B" w:rsidRPr="00FA2B32" w:rsidRDefault="00DF303B" w:rsidP="00D82632">
      <w:pPr>
        <w:pStyle w:val="Text2-1"/>
        <w:numPr>
          <w:ilvl w:val="0"/>
          <w:numId w:val="0"/>
        </w:numPr>
        <w:ind w:left="737"/>
        <w:rPr>
          <w:color w:val="FF0000"/>
        </w:rPr>
      </w:pPr>
    </w:p>
    <w:p w14:paraId="098B21F4" w14:textId="0B62C2E5" w:rsidR="00DD3D78" w:rsidRDefault="00DD3D78" w:rsidP="00DD3D78">
      <w:pPr>
        <w:pStyle w:val="Text2-1"/>
      </w:pPr>
      <w:r>
        <w:lastRenderedPageBreak/>
        <w:t xml:space="preserve">Výše uvedený materiál není </w:t>
      </w:r>
      <w:r w:rsidRPr="00952596">
        <w:t xml:space="preserve">součástí </w:t>
      </w:r>
      <w:r w:rsidR="00FE588D" w:rsidRPr="00952596">
        <w:t>nákladů stavby</w:t>
      </w:r>
      <w:r w:rsidR="00FE588D">
        <w:t>, které jdou za dodavatelem</w:t>
      </w:r>
      <w:r w:rsidRPr="00952596">
        <w:t xml:space="preserve">. </w:t>
      </w:r>
    </w:p>
    <w:p w14:paraId="39AB176B" w14:textId="53F77B05" w:rsidR="00DD3D78" w:rsidRDefault="00DD3D78" w:rsidP="00D763C2">
      <w:pPr>
        <w:pStyle w:val="Text2-1"/>
        <w:numPr>
          <w:ilvl w:val="0"/>
          <w:numId w:val="0"/>
        </w:numPr>
        <w:ind w:left="737"/>
      </w:pPr>
      <w:r w:rsidRPr="00722BEB">
        <w:t>Místo předání materiálu:</w:t>
      </w:r>
      <w:r w:rsidR="00722BEB">
        <w:t xml:space="preserve"> </w:t>
      </w:r>
      <w:proofErr w:type="spellStart"/>
      <w:r w:rsidR="00FE588D">
        <w:t>žst</w:t>
      </w:r>
      <w:proofErr w:type="spellEnd"/>
      <w:r w:rsidR="00FE588D">
        <w:t xml:space="preserve">. </w:t>
      </w:r>
      <w:r w:rsidR="00FD6CFE">
        <w:t>Bohumín Vrbice</w:t>
      </w:r>
    </w:p>
    <w:p w14:paraId="188B588A" w14:textId="743BF745" w:rsidR="00DF7BAA" w:rsidRDefault="00DF7BAA" w:rsidP="00DF7BAA">
      <w:pPr>
        <w:pStyle w:val="Nadpis2-1"/>
      </w:pPr>
      <w:bookmarkStart w:id="49" w:name="_Toc6410460"/>
      <w:bookmarkStart w:id="50" w:name="_Toc128030155"/>
      <w:r w:rsidRPr="00EC2E51">
        <w:t>ORGANIZACE</w:t>
      </w:r>
      <w:r>
        <w:t xml:space="preserve"> VÝSTAVBY, VÝLUKY</w:t>
      </w:r>
      <w:bookmarkEnd w:id="49"/>
      <w:bookmarkEnd w:id="50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2232E4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09BB683A" w:rsidR="008B4F46" w:rsidRPr="002232E4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232E4">
              <w:rPr>
                <w:sz w:val="14"/>
              </w:rPr>
              <w:t xml:space="preserve">do </w:t>
            </w:r>
            <w:r w:rsidR="00DF17EB" w:rsidRPr="002232E4">
              <w:rPr>
                <w:sz w:val="14"/>
              </w:rPr>
              <w:t>10</w:t>
            </w:r>
            <w:r w:rsidRPr="002232E4">
              <w:rPr>
                <w:sz w:val="14"/>
              </w:rPr>
              <w:t xml:space="preserve"> pracovních dnů od účinnosti smlouvy</w:t>
            </w:r>
          </w:p>
          <w:p w14:paraId="5BAE7785" w14:textId="21B690B2" w:rsidR="00580BF5" w:rsidRPr="002232E4" w:rsidRDefault="008B4F46" w:rsidP="00AA63A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2232E4">
              <w:rPr>
                <w:sz w:val="14"/>
              </w:rPr>
              <w:t>(předpoklad</w:t>
            </w:r>
            <w:r w:rsidR="00AA63AC" w:rsidRPr="002232E4">
              <w:rPr>
                <w:sz w:val="14"/>
              </w:rPr>
              <w:t xml:space="preserve"> </w:t>
            </w:r>
            <w:r w:rsidR="00F269A4">
              <w:rPr>
                <w:sz w:val="14"/>
              </w:rPr>
              <w:t>srpen</w:t>
            </w:r>
            <w:r w:rsidR="00580BF5" w:rsidRPr="002232E4">
              <w:rPr>
                <w:sz w:val="14"/>
              </w:rPr>
              <w:t xml:space="preserve"> 20</w:t>
            </w:r>
            <w:r w:rsidRPr="002232E4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B4F46" w:rsidRDefault="00580BF5" w:rsidP="00580BF5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6927BCB1" w:rsidR="00580BF5" w:rsidRPr="00BC51B8" w:rsidRDefault="00580BF5" w:rsidP="001C74A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9604BE">
              <w:rPr>
                <w:sz w:val="14"/>
              </w:rPr>
              <w:t xml:space="preserve"> </w:t>
            </w:r>
            <w:r w:rsidR="00F269A4">
              <w:rPr>
                <w:sz w:val="14"/>
              </w:rPr>
              <w:t>září</w:t>
            </w:r>
            <w:r w:rsidRPr="009604BE">
              <w:rPr>
                <w:sz w:val="14"/>
              </w:rPr>
              <w:t xml:space="preserve"> 20</w:t>
            </w:r>
            <w:r w:rsidR="008B4F46" w:rsidRPr="009604BE">
              <w:rPr>
                <w:sz w:val="14"/>
              </w:rPr>
              <w:t>23</w:t>
            </w:r>
          </w:p>
        </w:tc>
      </w:tr>
      <w:tr w:rsidR="009604BE" w:rsidRPr="00404F88" w14:paraId="56FD3A61" w14:textId="77777777" w:rsidTr="00EA09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7831B830" w14:textId="6CED677F" w:rsidR="009604BE" w:rsidRDefault="009604BE" w:rsidP="00260535">
            <w:pPr>
              <w:pStyle w:val="Tabulka-7"/>
              <w:rPr>
                <w:b/>
              </w:rPr>
            </w:pPr>
            <w:r w:rsidRPr="0042522E">
              <w:rPr>
                <w:b/>
              </w:rPr>
              <w:t xml:space="preserve">ROV </w:t>
            </w:r>
            <w:r w:rsidR="00F269A4">
              <w:rPr>
                <w:b/>
              </w:rPr>
              <w:t>23371</w:t>
            </w:r>
          </w:p>
          <w:p w14:paraId="50DE3A36" w14:textId="02E7C2FC" w:rsidR="00F7414D" w:rsidRPr="007E040C" w:rsidRDefault="00F269A4" w:rsidP="00260535">
            <w:pPr>
              <w:pStyle w:val="Tabulka-7"/>
              <w:rPr>
                <w:highlight w:val="green"/>
              </w:rPr>
            </w:pPr>
            <w:r>
              <w:rPr>
                <w:b/>
              </w:rPr>
              <w:t>Etapa D</w:t>
            </w:r>
          </w:p>
        </w:tc>
        <w:tc>
          <w:tcPr>
            <w:tcW w:w="3073" w:type="dxa"/>
          </w:tcPr>
          <w:p w14:paraId="786C1D3A" w14:textId="037D18CB" w:rsidR="009604BE" w:rsidRPr="00E93766" w:rsidRDefault="00F269A4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CF0">
              <w:t>Oprava koleje v žst. Bohumín Vrbice</w:t>
            </w:r>
          </w:p>
        </w:tc>
        <w:tc>
          <w:tcPr>
            <w:tcW w:w="1694" w:type="dxa"/>
          </w:tcPr>
          <w:p w14:paraId="66AA44B0" w14:textId="238535B8" w:rsidR="009604BE" w:rsidRPr="00E93766" w:rsidRDefault="00F269A4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15</w:t>
            </w:r>
            <w:r w:rsidR="00F7414D">
              <w:t>N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5D8C0F17" w:rsidR="009604BE" w:rsidRPr="00BC51B8" w:rsidRDefault="00D449F1" w:rsidP="009604B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15 - 29</w:t>
            </w:r>
            <w:r w:rsidR="009604BE" w:rsidRPr="009604BE">
              <w:rPr>
                <w:sz w:val="14"/>
              </w:rPr>
              <w:t>.</w:t>
            </w:r>
            <w:r w:rsidR="008D38A0">
              <w:rPr>
                <w:sz w:val="14"/>
              </w:rPr>
              <w:t xml:space="preserve"> </w:t>
            </w:r>
            <w:r>
              <w:rPr>
                <w:sz w:val="14"/>
              </w:rPr>
              <w:t>9</w:t>
            </w:r>
            <w:r w:rsidR="00196578">
              <w:rPr>
                <w:sz w:val="14"/>
              </w:rPr>
              <w:t>.</w:t>
            </w:r>
            <w:r w:rsidR="009604BE" w:rsidRPr="009604BE">
              <w:rPr>
                <w:sz w:val="14"/>
              </w:rPr>
              <w:t xml:space="preserve"> 2023</w:t>
            </w:r>
          </w:p>
        </w:tc>
      </w:tr>
      <w:tr w:rsidR="009604BE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67796A1" w14:textId="58C163A3" w:rsidR="00830FA5" w:rsidRDefault="00830FA5" w:rsidP="00830FA5">
            <w:pPr>
              <w:pStyle w:val="Tabulka-7"/>
              <w:rPr>
                <w:b/>
              </w:rPr>
            </w:pPr>
            <w:r w:rsidRPr="0042522E">
              <w:rPr>
                <w:b/>
              </w:rPr>
              <w:t xml:space="preserve">ROV </w:t>
            </w:r>
            <w:r w:rsidR="00D449F1">
              <w:rPr>
                <w:b/>
              </w:rPr>
              <w:t>23371</w:t>
            </w:r>
          </w:p>
          <w:p w14:paraId="4BB56EEF" w14:textId="43DD3257" w:rsidR="009604BE" w:rsidRPr="007E040C" w:rsidRDefault="00D449F1" w:rsidP="00830FA5">
            <w:pPr>
              <w:pStyle w:val="Tabulka-7"/>
              <w:rPr>
                <w:highlight w:val="green"/>
              </w:rPr>
            </w:pPr>
            <w:r>
              <w:rPr>
                <w:b/>
              </w:rPr>
              <w:t>Etapa J</w:t>
            </w:r>
          </w:p>
        </w:tc>
        <w:tc>
          <w:tcPr>
            <w:tcW w:w="3073" w:type="dxa"/>
          </w:tcPr>
          <w:p w14:paraId="0A6D9C8C" w14:textId="3D37B135" w:rsidR="009604BE" w:rsidRPr="007E040C" w:rsidRDefault="00D449F1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40CF0">
              <w:t>Oprava koleje v žst. Bohumín Vrbice</w:t>
            </w:r>
          </w:p>
        </w:tc>
        <w:tc>
          <w:tcPr>
            <w:tcW w:w="1694" w:type="dxa"/>
          </w:tcPr>
          <w:p w14:paraId="2A1B528B" w14:textId="6E6FFFBE" w:rsidR="009604BE" w:rsidRPr="007E040C" w:rsidRDefault="00D22FE4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1</w:t>
            </w:r>
            <w:r w:rsidR="00D449F1">
              <w:t>x12</w:t>
            </w:r>
            <w:r w:rsidR="009604BE" w:rsidRPr="009604BE">
              <w:t xml:space="preserve"> hodin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240268CB" w:rsidR="009604BE" w:rsidRPr="00BC51B8" w:rsidRDefault="00F7414D" w:rsidP="009604B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 xml:space="preserve"> </w:t>
            </w:r>
            <w:r w:rsidR="00D449F1">
              <w:rPr>
                <w:sz w:val="14"/>
              </w:rPr>
              <w:t>2</w:t>
            </w:r>
            <w:r>
              <w:rPr>
                <w:sz w:val="14"/>
              </w:rPr>
              <w:t>7</w:t>
            </w:r>
            <w:r w:rsidR="009604BE" w:rsidRPr="009604BE">
              <w:rPr>
                <w:sz w:val="14"/>
              </w:rPr>
              <w:t>.</w:t>
            </w:r>
            <w:r w:rsidR="00D449F1">
              <w:rPr>
                <w:sz w:val="14"/>
              </w:rPr>
              <w:t xml:space="preserve"> 11.</w:t>
            </w:r>
            <w:r w:rsidR="009604BE" w:rsidRPr="009604BE">
              <w:rPr>
                <w:sz w:val="14"/>
              </w:rPr>
              <w:t xml:space="preserve"> 2023</w:t>
            </w:r>
          </w:p>
        </w:tc>
      </w:tr>
      <w:tr w:rsidR="008D38A0" w:rsidRPr="00404F88" w14:paraId="7375EE30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09B0C17" w14:textId="19F5BE31" w:rsidR="008D38A0" w:rsidRPr="008B4F46" w:rsidRDefault="008D38A0" w:rsidP="00D22FE4">
            <w:pPr>
              <w:pStyle w:val="Tabulka-7"/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172BAD12" w14:textId="77777777" w:rsidR="008D38A0" w:rsidRPr="007E040C" w:rsidDel="00055752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019B4670" w14:textId="77777777" w:rsidR="008D38A0" w:rsidRPr="00196578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CE9E152" w14:textId="06749B32" w:rsidR="008D38A0" w:rsidRPr="00196578" w:rsidRDefault="00830FA5" w:rsidP="008D38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do 6</w:t>
            </w:r>
            <w:r w:rsidR="008D38A0" w:rsidRPr="00196578">
              <w:rPr>
                <w:sz w:val="14"/>
              </w:rPr>
              <w:t xml:space="preserve"> měsíců ode dne zahájení stavby</w:t>
            </w:r>
          </w:p>
        </w:tc>
      </w:tr>
      <w:tr w:rsidR="008D38A0" w:rsidRPr="00404F88" w14:paraId="590C0EB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25E70EB" w14:textId="77777777" w:rsidR="008D38A0" w:rsidRDefault="008D38A0" w:rsidP="00D22FE4">
            <w:pPr>
              <w:pStyle w:val="Tabulka-7"/>
              <w:rPr>
                <w:highlight w:val="green"/>
              </w:rPr>
            </w:pPr>
          </w:p>
          <w:p w14:paraId="23291D35" w14:textId="77777777" w:rsidR="008D38A0" w:rsidRPr="008B4F46" w:rsidRDefault="008D38A0" w:rsidP="00D22FE4">
            <w:pPr>
              <w:pStyle w:val="Tabulka-7"/>
            </w:pPr>
          </w:p>
        </w:tc>
        <w:tc>
          <w:tcPr>
            <w:tcW w:w="3073" w:type="dxa"/>
          </w:tcPr>
          <w:p w14:paraId="7B52361E" w14:textId="5C1EC46E" w:rsidR="008D38A0" w:rsidRPr="007E040C" w:rsidDel="00055752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1BF32220" w14:textId="77777777" w:rsidR="008D38A0" w:rsidRPr="00196578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970D79A" w14:textId="1B385E35" w:rsidR="008D38A0" w:rsidRPr="00196578" w:rsidRDefault="008D38A0" w:rsidP="007D0B2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96578">
              <w:rPr>
                <w:sz w:val="14"/>
              </w:rPr>
              <w:t xml:space="preserve">do </w:t>
            </w:r>
            <w:r w:rsidR="00830FA5">
              <w:rPr>
                <w:sz w:val="14"/>
              </w:rPr>
              <w:t>6</w:t>
            </w:r>
            <w:r w:rsidRPr="00196578">
              <w:rPr>
                <w:sz w:val="14"/>
              </w:rPr>
              <w:t xml:space="preserve"> měsíců ode dne zahájení stavby</w:t>
            </w:r>
          </w:p>
        </w:tc>
      </w:tr>
    </w:tbl>
    <w:p w14:paraId="3433DF18" w14:textId="7D1DE8ED" w:rsidR="00DF7BAA" w:rsidRDefault="00DF7BAA" w:rsidP="008D38A0">
      <w:pPr>
        <w:pStyle w:val="Nadpis2-1"/>
      </w:pPr>
      <w:bookmarkStart w:id="51" w:name="_Toc6410461"/>
      <w:bookmarkStart w:id="52" w:name="_Toc128030156"/>
      <w:r w:rsidRPr="00EC2E51">
        <w:t>SOUVISEJÍCÍ</w:t>
      </w:r>
      <w:r>
        <w:t xml:space="preserve"> DOKUMENTY A PŘEDPISY</w:t>
      </w:r>
      <w:bookmarkEnd w:id="51"/>
      <w:bookmarkEnd w:id="5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D526766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r w:rsidR="002753EF" w:rsidRPr="009B5292">
        <w:rPr>
          <w:spacing w:val="2"/>
        </w:rPr>
        <w:t>předpisy</w:t>
      </w:r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0D9007F9" w:rsidR="00EF61C8" w:rsidRPr="00E85446" w:rsidRDefault="00221DD1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3" w:name="_Toc6410462"/>
      <w:bookmarkStart w:id="54" w:name="_Toc128030157"/>
      <w:r>
        <w:t>PŘÍLOHY</w:t>
      </w:r>
      <w:bookmarkEnd w:id="53"/>
      <w:bookmarkEnd w:id="54"/>
    </w:p>
    <w:p w14:paraId="520CC0CC" w14:textId="09F0CD17" w:rsidR="00F66DA9" w:rsidRPr="00B66548" w:rsidRDefault="00344496" w:rsidP="00F66DA9">
      <w:pPr>
        <w:pStyle w:val="Text2-1"/>
      </w:pPr>
      <w:r>
        <w:t>Neobsazeno.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93D15" w14:textId="77777777" w:rsidR="00BA7BCC" w:rsidRDefault="00BA7BCC" w:rsidP="00962258">
      <w:pPr>
        <w:spacing w:after="0" w:line="240" w:lineRule="auto"/>
      </w:pPr>
      <w:r>
        <w:separator/>
      </w:r>
    </w:p>
  </w:endnote>
  <w:endnote w:type="continuationSeparator" w:id="0">
    <w:p w14:paraId="7B42F713" w14:textId="77777777" w:rsidR="00BA7BCC" w:rsidRDefault="00BA7BC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40CF0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18CF803" w:rsidR="00040CF0" w:rsidRPr="00B8518B" w:rsidRDefault="00040CF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7F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7F85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7FA0F65" w14:textId="147FEBCE" w:rsidR="00221DD1" w:rsidRDefault="00D81D58" w:rsidP="003462EB">
          <w:pPr>
            <w:pStyle w:val="Zpatvlevo"/>
            <w:rPr>
              <w:noProof/>
            </w:rPr>
          </w:pPr>
          <w:fldSimple w:instr=" STYLEREF  _Název_akce  \* MERGEFORMAT ">
            <w:r w:rsidR="00FE588D">
              <w:rPr>
                <w:noProof/>
              </w:rPr>
              <w:t>„Oprava koleje v žst. Bohumín-Vrbice“</w:t>
            </w:r>
          </w:fldSimple>
        </w:p>
        <w:p w14:paraId="7FFFE8AC" w14:textId="0C2D1137" w:rsidR="00040CF0" w:rsidRDefault="00040CF0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B37D375" w:rsidR="00040CF0" w:rsidRPr="003462EB" w:rsidRDefault="00040CF0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040CF0" w:rsidRPr="00614E71" w:rsidRDefault="00040CF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40CF0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F484D49" w14:textId="060608CD" w:rsidR="00221DD1" w:rsidRDefault="00D81D58" w:rsidP="003B111D">
          <w:pPr>
            <w:pStyle w:val="Zpatvpravo"/>
            <w:rPr>
              <w:noProof/>
            </w:rPr>
          </w:pPr>
          <w:fldSimple w:instr=" STYLEREF  _Název_akce  \* MERGEFORMAT ">
            <w:r w:rsidR="00FE588D">
              <w:rPr>
                <w:noProof/>
              </w:rPr>
              <w:t>„Oprava koleje v žst. Bohumín-Vrbice“</w:t>
            </w:r>
          </w:fldSimple>
        </w:p>
        <w:p w14:paraId="7B4693AA" w14:textId="42E53C54" w:rsidR="00040CF0" w:rsidRDefault="00040CF0" w:rsidP="003B111D">
          <w:pPr>
            <w:pStyle w:val="Zpatvpravo"/>
          </w:pPr>
          <w:r>
            <w:t>Příloha č. 2 b)</w:t>
          </w:r>
        </w:p>
        <w:p w14:paraId="5D9BD160" w14:textId="3081E1ED" w:rsidR="00040CF0" w:rsidRPr="003462EB" w:rsidRDefault="00040CF0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714B9AA4" w:rsidR="00040CF0" w:rsidRPr="009E09BE" w:rsidRDefault="00040CF0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7F8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7F85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040CF0" w:rsidRPr="00B8518B" w:rsidRDefault="00040CF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040CF0" w:rsidRPr="00B8518B" w:rsidRDefault="00040CF0" w:rsidP="00460660">
    <w:pPr>
      <w:pStyle w:val="Zpat"/>
      <w:rPr>
        <w:sz w:val="2"/>
        <w:szCs w:val="2"/>
      </w:rPr>
    </w:pPr>
  </w:p>
  <w:p w14:paraId="53F277EE" w14:textId="77777777" w:rsidR="00040CF0" w:rsidRDefault="00040CF0" w:rsidP="00757290">
    <w:pPr>
      <w:pStyle w:val="Zpatvlevo"/>
      <w:rPr>
        <w:rFonts w:cs="Calibri"/>
        <w:szCs w:val="12"/>
      </w:rPr>
    </w:pPr>
  </w:p>
  <w:p w14:paraId="17EFC080" w14:textId="77777777" w:rsidR="00040CF0" w:rsidRPr="00460660" w:rsidRDefault="00040CF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467B" w14:textId="77777777" w:rsidR="00BA7BCC" w:rsidRDefault="00BA7BCC" w:rsidP="00962258">
      <w:pPr>
        <w:spacing w:after="0" w:line="240" w:lineRule="auto"/>
      </w:pPr>
      <w:r>
        <w:separator/>
      </w:r>
    </w:p>
  </w:footnote>
  <w:footnote w:type="continuationSeparator" w:id="0">
    <w:p w14:paraId="185E52FC" w14:textId="77777777" w:rsidR="00BA7BCC" w:rsidRDefault="00BA7BC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40CF0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040CF0" w:rsidRPr="00B8518B" w:rsidRDefault="00040CF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040CF0" w:rsidRDefault="00040CF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040CF0" w:rsidRPr="00D6163D" w:rsidRDefault="00040CF0" w:rsidP="00FC6389">
          <w:pPr>
            <w:pStyle w:val="Druhdokumentu"/>
          </w:pPr>
        </w:p>
      </w:tc>
    </w:tr>
    <w:tr w:rsidR="00040CF0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040CF0" w:rsidRPr="00B8518B" w:rsidRDefault="00040CF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040CF0" w:rsidRDefault="00040CF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040CF0" w:rsidRPr="00D6163D" w:rsidRDefault="00040CF0" w:rsidP="00FC6389">
          <w:pPr>
            <w:pStyle w:val="Druhdokumentu"/>
          </w:pPr>
        </w:p>
      </w:tc>
    </w:tr>
  </w:tbl>
  <w:p w14:paraId="53E85CAA" w14:textId="77777777" w:rsidR="00040CF0" w:rsidRPr="00D6163D" w:rsidRDefault="00040CF0" w:rsidP="00FC6389">
    <w:pPr>
      <w:pStyle w:val="Zhlav"/>
      <w:rPr>
        <w:sz w:val="8"/>
        <w:szCs w:val="8"/>
      </w:rPr>
    </w:pPr>
  </w:p>
  <w:p w14:paraId="1437D3AE" w14:textId="77777777" w:rsidR="00040CF0" w:rsidRPr="00460660" w:rsidRDefault="00040CF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4E01BCC"/>
    <w:multiLevelType w:val="hybridMultilevel"/>
    <w:tmpl w:val="C34A6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E6D663D"/>
    <w:multiLevelType w:val="hybridMultilevel"/>
    <w:tmpl w:val="28D26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4711722"/>
    <w:multiLevelType w:val="hybridMultilevel"/>
    <w:tmpl w:val="D9E6C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C22D6"/>
    <w:multiLevelType w:val="hybridMultilevel"/>
    <w:tmpl w:val="FD2E5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540680">
    <w:abstractNumId w:val="9"/>
  </w:num>
  <w:num w:numId="2" w16cid:durableId="1530875405">
    <w:abstractNumId w:val="7"/>
  </w:num>
  <w:num w:numId="3" w16cid:durableId="542133947">
    <w:abstractNumId w:val="4"/>
  </w:num>
  <w:num w:numId="4" w16cid:durableId="1810055542">
    <w:abstractNumId w:val="10"/>
  </w:num>
  <w:num w:numId="5" w16cid:durableId="1244415524">
    <w:abstractNumId w:val="13"/>
  </w:num>
  <w:num w:numId="6" w16cid:durableId="1848599354">
    <w:abstractNumId w:val="6"/>
  </w:num>
  <w:num w:numId="7" w16cid:durableId="6075444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7683491">
    <w:abstractNumId w:val="19"/>
  </w:num>
  <w:num w:numId="9" w16cid:durableId="407504184">
    <w:abstractNumId w:val="0"/>
  </w:num>
  <w:num w:numId="10" w16cid:durableId="1446576532">
    <w:abstractNumId w:val="10"/>
  </w:num>
  <w:num w:numId="11" w16cid:durableId="1253585697">
    <w:abstractNumId w:val="13"/>
  </w:num>
  <w:num w:numId="12" w16cid:durableId="1513455247">
    <w:abstractNumId w:val="17"/>
  </w:num>
  <w:num w:numId="13" w16cid:durableId="595600698">
    <w:abstractNumId w:val="3"/>
  </w:num>
  <w:num w:numId="14" w16cid:durableId="498229962">
    <w:abstractNumId w:val="6"/>
  </w:num>
  <w:num w:numId="15" w16cid:durableId="2129738027">
    <w:abstractNumId w:val="19"/>
  </w:num>
  <w:num w:numId="16" w16cid:durableId="423187604">
    <w:abstractNumId w:val="8"/>
  </w:num>
  <w:num w:numId="17" w16cid:durableId="587613774">
    <w:abstractNumId w:val="11"/>
  </w:num>
  <w:num w:numId="18" w16cid:durableId="212472829">
    <w:abstractNumId w:val="2"/>
  </w:num>
  <w:num w:numId="19" w16cid:durableId="93481616">
    <w:abstractNumId w:val="6"/>
  </w:num>
  <w:num w:numId="20" w16cid:durableId="1994867037">
    <w:abstractNumId w:val="6"/>
  </w:num>
  <w:num w:numId="21" w16cid:durableId="20783550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7171813">
    <w:abstractNumId w:val="15"/>
  </w:num>
  <w:num w:numId="23" w16cid:durableId="619841276">
    <w:abstractNumId w:val="6"/>
  </w:num>
  <w:num w:numId="24" w16cid:durableId="543449139">
    <w:abstractNumId w:val="6"/>
  </w:num>
  <w:num w:numId="25" w16cid:durableId="1929728152">
    <w:abstractNumId w:val="14"/>
  </w:num>
  <w:num w:numId="26" w16cid:durableId="2105028781">
    <w:abstractNumId w:val="6"/>
  </w:num>
  <w:num w:numId="27" w16cid:durableId="411246356">
    <w:abstractNumId w:val="6"/>
  </w:num>
  <w:num w:numId="28" w16cid:durableId="52119292">
    <w:abstractNumId w:val="6"/>
  </w:num>
  <w:num w:numId="29" w16cid:durableId="1729185430">
    <w:abstractNumId w:val="1"/>
  </w:num>
  <w:num w:numId="30" w16cid:durableId="1292130939">
    <w:abstractNumId w:val="6"/>
  </w:num>
  <w:num w:numId="31" w16cid:durableId="1331561837">
    <w:abstractNumId w:val="6"/>
  </w:num>
  <w:num w:numId="32" w16cid:durableId="912737894">
    <w:abstractNumId w:val="6"/>
  </w:num>
  <w:num w:numId="33" w16cid:durableId="817383585">
    <w:abstractNumId w:val="6"/>
  </w:num>
  <w:num w:numId="34" w16cid:durableId="1948468182">
    <w:abstractNumId w:val="6"/>
  </w:num>
  <w:num w:numId="35" w16cid:durableId="73939525">
    <w:abstractNumId w:val="6"/>
  </w:num>
  <w:num w:numId="36" w16cid:durableId="533076786">
    <w:abstractNumId w:val="6"/>
  </w:num>
  <w:num w:numId="37" w16cid:durableId="696154524">
    <w:abstractNumId w:val="6"/>
  </w:num>
  <w:num w:numId="38" w16cid:durableId="79453968">
    <w:abstractNumId w:val="6"/>
  </w:num>
  <w:num w:numId="39" w16cid:durableId="1139304928">
    <w:abstractNumId w:val="5"/>
  </w:num>
  <w:num w:numId="40" w16cid:durableId="509487233">
    <w:abstractNumId w:val="18"/>
  </w:num>
  <w:num w:numId="41" w16cid:durableId="1768691845">
    <w:abstractNumId w:val="16"/>
  </w:num>
  <w:num w:numId="42" w16cid:durableId="1170146884">
    <w:abstractNumId w:val="12"/>
  </w:num>
  <w:num w:numId="43" w16cid:durableId="617585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400696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0832"/>
    <w:rsid w:val="00031D7C"/>
    <w:rsid w:val="000328BC"/>
    <w:rsid w:val="000342CE"/>
    <w:rsid w:val="00035570"/>
    <w:rsid w:val="0003639F"/>
    <w:rsid w:val="00040CF0"/>
    <w:rsid w:val="00041EC8"/>
    <w:rsid w:val="0005496A"/>
    <w:rsid w:val="00054FC6"/>
    <w:rsid w:val="00055CF5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6B3"/>
    <w:rsid w:val="00090AFB"/>
    <w:rsid w:val="0009384F"/>
    <w:rsid w:val="0009438C"/>
    <w:rsid w:val="0009754F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16B"/>
    <w:rsid w:val="000D6539"/>
    <w:rsid w:val="000E11D6"/>
    <w:rsid w:val="000E1A7F"/>
    <w:rsid w:val="000E4E36"/>
    <w:rsid w:val="000E7238"/>
    <w:rsid w:val="000F05C4"/>
    <w:rsid w:val="000F15F1"/>
    <w:rsid w:val="000F50A4"/>
    <w:rsid w:val="001003E0"/>
    <w:rsid w:val="00103B38"/>
    <w:rsid w:val="00103F46"/>
    <w:rsid w:val="00104CC3"/>
    <w:rsid w:val="00107E6D"/>
    <w:rsid w:val="00112864"/>
    <w:rsid w:val="001133FC"/>
    <w:rsid w:val="0011365B"/>
    <w:rsid w:val="00114472"/>
    <w:rsid w:val="00114988"/>
    <w:rsid w:val="00114DE9"/>
    <w:rsid w:val="00115069"/>
    <w:rsid w:val="001150F2"/>
    <w:rsid w:val="00116940"/>
    <w:rsid w:val="00116D36"/>
    <w:rsid w:val="0011783A"/>
    <w:rsid w:val="0012299E"/>
    <w:rsid w:val="00130A23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103F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6578"/>
    <w:rsid w:val="001976B3"/>
    <w:rsid w:val="00197D96"/>
    <w:rsid w:val="001A001A"/>
    <w:rsid w:val="001A3683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4A1"/>
    <w:rsid w:val="001C7EB4"/>
    <w:rsid w:val="001D0D0C"/>
    <w:rsid w:val="001D35FE"/>
    <w:rsid w:val="001D39DE"/>
    <w:rsid w:val="001D7D17"/>
    <w:rsid w:val="001E2BD0"/>
    <w:rsid w:val="001E54AF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1DD1"/>
    <w:rsid w:val="002232E4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249"/>
    <w:rsid w:val="0025030F"/>
    <w:rsid w:val="00250479"/>
    <w:rsid w:val="0025048A"/>
    <w:rsid w:val="00250AAA"/>
    <w:rsid w:val="0025283D"/>
    <w:rsid w:val="00252A5C"/>
    <w:rsid w:val="00253E6A"/>
    <w:rsid w:val="002548B5"/>
    <w:rsid w:val="00260535"/>
    <w:rsid w:val="002606E0"/>
    <w:rsid w:val="00261A5B"/>
    <w:rsid w:val="00262E5B"/>
    <w:rsid w:val="00263DB8"/>
    <w:rsid w:val="00264D52"/>
    <w:rsid w:val="0026613E"/>
    <w:rsid w:val="002723B9"/>
    <w:rsid w:val="0027422E"/>
    <w:rsid w:val="00274BE5"/>
    <w:rsid w:val="002753EF"/>
    <w:rsid w:val="00276AFE"/>
    <w:rsid w:val="00286B2D"/>
    <w:rsid w:val="00287EA4"/>
    <w:rsid w:val="0029043F"/>
    <w:rsid w:val="002944A6"/>
    <w:rsid w:val="002A3B57"/>
    <w:rsid w:val="002A416D"/>
    <w:rsid w:val="002A56AB"/>
    <w:rsid w:val="002B2CAE"/>
    <w:rsid w:val="002B6458"/>
    <w:rsid w:val="002B6B58"/>
    <w:rsid w:val="002C0A2D"/>
    <w:rsid w:val="002C1924"/>
    <w:rsid w:val="002C1A2B"/>
    <w:rsid w:val="002C314C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1D7E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07EA4"/>
    <w:rsid w:val="00311180"/>
    <w:rsid w:val="003130A4"/>
    <w:rsid w:val="003137DF"/>
    <w:rsid w:val="003202DC"/>
    <w:rsid w:val="003226D3"/>
    <w:rsid w:val="003229ED"/>
    <w:rsid w:val="003242AE"/>
    <w:rsid w:val="00324E85"/>
    <w:rsid w:val="003254A3"/>
    <w:rsid w:val="00325AB0"/>
    <w:rsid w:val="00327EEF"/>
    <w:rsid w:val="00330B5A"/>
    <w:rsid w:val="00331AD7"/>
    <w:rsid w:val="0033239F"/>
    <w:rsid w:val="00334918"/>
    <w:rsid w:val="00337F85"/>
    <w:rsid w:val="003418A3"/>
    <w:rsid w:val="0034274B"/>
    <w:rsid w:val="00344496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0A96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47F5"/>
    <w:rsid w:val="003B7D96"/>
    <w:rsid w:val="003C33F2"/>
    <w:rsid w:val="003C6679"/>
    <w:rsid w:val="003C7295"/>
    <w:rsid w:val="003D1D11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9C9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B32"/>
    <w:rsid w:val="00410C44"/>
    <w:rsid w:val="00412D61"/>
    <w:rsid w:val="00421120"/>
    <w:rsid w:val="004211D8"/>
    <w:rsid w:val="00421C8D"/>
    <w:rsid w:val="00422793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5AB6"/>
    <w:rsid w:val="00467430"/>
    <w:rsid w:val="00470F14"/>
    <w:rsid w:val="004725AC"/>
    <w:rsid w:val="00475877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3BFA"/>
    <w:rsid w:val="004C4399"/>
    <w:rsid w:val="004C4B2A"/>
    <w:rsid w:val="004C787C"/>
    <w:rsid w:val="004D4C6A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246"/>
    <w:rsid w:val="0055798A"/>
    <w:rsid w:val="005610A7"/>
    <w:rsid w:val="0056233E"/>
    <w:rsid w:val="0056243B"/>
    <w:rsid w:val="00562909"/>
    <w:rsid w:val="00566B8A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0F89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0744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05C"/>
    <w:rsid w:val="006327AB"/>
    <w:rsid w:val="0064054F"/>
    <w:rsid w:val="006411F1"/>
    <w:rsid w:val="00645371"/>
    <w:rsid w:val="00646A59"/>
    <w:rsid w:val="006501CA"/>
    <w:rsid w:val="00651FE7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2FB4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106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3193"/>
    <w:rsid w:val="006F455E"/>
    <w:rsid w:val="006F687F"/>
    <w:rsid w:val="006F70E0"/>
    <w:rsid w:val="007020E6"/>
    <w:rsid w:val="007077E5"/>
    <w:rsid w:val="00710723"/>
    <w:rsid w:val="00713293"/>
    <w:rsid w:val="007161BD"/>
    <w:rsid w:val="00720802"/>
    <w:rsid w:val="00722BEB"/>
    <w:rsid w:val="00722C50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1D27"/>
    <w:rsid w:val="0076286B"/>
    <w:rsid w:val="00766846"/>
    <w:rsid w:val="0076790E"/>
    <w:rsid w:val="00767F98"/>
    <w:rsid w:val="00770601"/>
    <w:rsid w:val="00771607"/>
    <w:rsid w:val="007746FD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5BE0"/>
    <w:rsid w:val="00786AAE"/>
    <w:rsid w:val="00791233"/>
    <w:rsid w:val="007944C2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C6DA4"/>
    <w:rsid w:val="007D0B29"/>
    <w:rsid w:val="007D41FF"/>
    <w:rsid w:val="007D7510"/>
    <w:rsid w:val="007E0E61"/>
    <w:rsid w:val="007E166A"/>
    <w:rsid w:val="007E1F23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5A63"/>
    <w:rsid w:val="00826B7B"/>
    <w:rsid w:val="00830FA5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1110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38A0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0F73"/>
    <w:rsid w:val="00902DA6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27244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04BE"/>
    <w:rsid w:val="00962258"/>
    <w:rsid w:val="009625F2"/>
    <w:rsid w:val="009656E8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C98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69B6"/>
    <w:rsid w:val="009F13FE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07D9"/>
    <w:rsid w:val="00A21638"/>
    <w:rsid w:val="00A22CCB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97911"/>
    <w:rsid w:val="00AA4CBB"/>
    <w:rsid w:val="00AA587B"/>
    <w:rsid w:val="00AA63AC"/>
    <w:rsid w:val="00AA65FA"/>
    <w:rsid w:val="00AA6984"/>
    <w:rsid w:val="00AA7351"/>
    <w:rsid w:val="00AB061B"/>
    <w:rsid w:val="00AB4873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488"/>
    <w:rsid w:val="00AF0FD3"/>
    <w:rsid w:val="00AF1C5F"/>
    <w:rsid w:val="00AF2E9E"/>
    <w:rsid w:val="00AF4A42"/>
    <w:rsid w:val="00AF5943"/>
    <w:rsid w:val="00B008D5"/>
    <w:rsid w:val="00B00CFD"/>
    <w:rsid w:val="00B01542"/>
    <w:rsid w:val="00B024E6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BB6"/>
    <w:rsid w:val="00B54C83"/>
    <w:rsid w:val="00B54FBB"/>
    <w:rsid w:val="00B56EB2"/>
    <w:rsid w:val="00B60031"/>
    <w:rsid w:val="00B61D30"/>
    <w:rsid w:val="00B6592C"/>
    <w:rsid w:val="00B66548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7BCC"/>
    <w:rsid w:val="00BB0FA7"/>
    <w:rsid w:val="00BB7876"/>
    <w:rsid w:val="00BC00EE"/>
    <w:rsid w:val="00BC0405"/>
    <w:rsid w:val="00BC06C4"/>
    <w:rsid w:val="00BC32CC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0377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7A4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3472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5600"/>
    <w:rsid w:val="00CE1C97"/>
    <w:rsid w:val="00CE2A6B"/>
    <w:rsid w:val="00CF034F"/>
    <w:rsid w:val="00CF2936"/>
    <w:rsid w:val="00D008B9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2FE4"/>
    <w:rsid w:val="00D24AE7"/>
    <w:rsid w:val="00D271D7"/>
    <w:rsid w:val="00D322B7"/>
    <w:rsid w:val="00D33D4C"/>
    <w:rsid w:val="00D35AE8"/>
    <w:rsid w:val="00D4108E"/>
    <w:rsid w:val="00D449F1"/>
    <w:rsid w:val="00D4656A"/>
    <w:rsid w:val="00D4698E"/>
    <w:rsid w:val="00D47647"/>
    <w:rsid w:val="00D51539"/>
    <w:rsid w:val="00D521D0"/>
    <w:rsid w:val="00D55077"/>
    <w:rsid w:val="00D6163D"/>
    <w:rsid w:val="00D61BB3"/>
    <w:rsid w:val="00D67D3D"/>
    <w:rsid w:val="00D721BE"/>
    <w:rsid w:val="00D72A99"/>
    <w:rsid w:val="00D755BD"/>
    <w:rsid w:val="00D76576"/>
    <w:rsid w:val="00D771F6"/>
    <w:rsid w:val="00D80E63"/>
    <w:rsid w:val="00D81D58"/>
    <w:rsid w:val="00D82632"/>
    <w:rsid w:val="00D831A3"/>
    <w:rsid w:val="00D83F33"/>
    <w:rsid w:val="00D8421D"/>
    <w:rsid w:val="00D84E48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7EB"/>
    <w:rsid w:val="00DF1B8A"/>
    <w:rsid w:val="00DF303B"/>
    <w:rsid w:val="00DF4A4B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2E1F"/>
    <w:rsid w:val="00E13901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3E1C"/>
    <w:rsid w:val="00E44045"/>
    <w:rsid w:val="00E44C3D"/>
    <w:rsid w:val="00E50E94"/>
    <w:rsid w:val="00E513C7"/>
    <w:rsid w:val="00E52424"/>
    <w:rsid w:val="00E56D2D"/>
    <w:rsid w:val="00E618C4"/>
    <w:rsid w:val="00E62CB8"/>
    <w:rsid w:val="00E63883"/>
    <w:rsid w:val="00E66C06"/>
    <w:rsid w:val="00E6703A"/>
    <w:rsid w:val="00E67218"/>
    <w:rsid w:val="00E679A6"/>
    <w:rsid w:val="00E70AB8"/>
    <w:rsid w:val="00E7218A"/>
    <w:rsid w:val="00E739C5"/>
    <w:rsid w:val="00E74ECC"/>
    <w:rsid w:val="00E75DC9"/>
    <w:rsid w:val="00E77C22"/>
    <w:rsid w:val="00E84C3A"/>
    <w:rsid w:val="00E863F0"/>
    <w:rsid w:val="00E86655"/>
    <w:rsid w:val="00E86EF7"/>
    <w:rsid w:val="00E875CA"/>
    <w:rsid w:val="00E878EE"/>
    <w:rsid w:val="00E93766"/>
    <w:rsid w:val="00E95BF0"/>
    <w:rsid w:val="00EA09AD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DC7"/>
    <w:rsid w:val="00ED2E69"/>
    <w:rsid w:val="00ED53DE"/>
    <w:rsid w:val="00EE3678"/>
    <w:rsid w:val="00EE54C5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269A4"/>
    <w:rsid w:val="00F310F8"/>
    <w:rsid w:val="00F310FA"/>
    <w:rsid w:val="00F331C1"/>
    <w:rsid w:val="00F343AA"/>
    <w:rsid w:val="00F35939"/>
    <w:rsid w:val="00F35F5E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329A"/>
    <w:rsid w:val="00F659EB"/>
    <w:rsid w:val="00F66312"/>
    <w:rsid w:val="00F66DA9"/>
    <w:rsid w:val="00F673CB"/>
    <w:rsid w:val="00F704F6"/>
    <w:rsid w:val="00F705D1"/>
    <w:rsid w:val="00F71758"/>
    <w:rsid w:val="00F72FDF"/>
    <w:rsid w:val="00F7414D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3AB4"/>
    <w:rsid w:val="00FA01C2"/>
    <w:rsid w:val="00FA09E4"/>
    <w:rsid w:val="00FA17DD"/>
    <w:rsid w:val="00FA21D3"/>
    <w:rsid w:val="00FA2B32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D6CFE"/>
    <w:rsid w:val="00FE22C4"/>
    <w:rsid w:val="00FE5309"/>
    <w:rsid w:val="00FE588D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DB32392-57BF-453B-A842-CAEAC0A8E4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26</TotalTime>
  <Pages>12</Pages>
  <Words>4806</Words>
  <Characters>28358</Characters>
  <Application>Microsoft Office Word</Application>
  <DocSecurity>0</DocSecurity>
  <Lines>236</Lines>
  <Paragraphs>66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4</cp:revision>
  <cp:lastPrinted>2023-03-15T05:12:00Z</cp:lastPrinted>
  <dcterms:created xsi:type="dcterms:W3CDTF">2023-07-11T07:57:00Z</dcterms:created>
  <dcterms:modified xsi:type="dcterms:W3CDTF">2023-07-28T05:31:00Z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